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A1" w:rsidRDefault="00F963C8" w:rsidP="007516A1">
      <w:pPr>
        <w:jc w:val="center"/>
        <w:rPr>
          <w:b/>
        </w:rPr>
      </w:pPr>
      <w:bookmarkStart w:id="0" w:name="_Toc57314688"/>
      <w:bookmarkStart w:id="1" w:name="OLE_LINK37"/>
      <w:r>
        <w:rPr>
          <w:b/>
        </w:rPr>
        <w:t>ПРОТОКОЛ</w:t>
      </w:r>
    </w:p>
    <w:p w:rsidR="002B4FAD" w:rsidRDefault="007516A1" w:rsidP="002C336E">
      <w:pPr>
        <w:jc w:val="center"/>
        <w:rPr>
          <w:rStyle w:val="af1"/>
          <w:sz w:val="28"/>
          <w:szCs w:val="28"/>
        </w:rPr>
      </w:pPr>
      <w:r w:rsidRPr="007516A1">
        <w:rPr>
          <w:b/>
          <w:sz w:val="28"/>
          <w:szCs w:val="28"/>
        </w:rPr>
        <w:t xml:space="preserve">оценки и сопоставления заявок </w:t>
      </w:r>
      <w:bookmarkEnd w:id="0"/>
    </w:p>
    <w:p w:rsidR="003C6233" w:rsidRDefault="002B4FAD" w:rsidP="003C6233">
      <w:pPr>
        <w:spacing w:line="360" w:lineRule="auto"/>
        <w:contextualSpacing/>
        <w:jc w:val="center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6233" w:rsidRPr="007C6771">
        <w:rPr>
          <w:b/>
          <w:sz w:val="28"/>
          <w:szCs w:val="28"/>
        </w:rPr>
        <w:t xml:space="preserve">на участие в конкурсе </w:t>
      </w:r>
      <w:r w:rsidR="002E1CE3">
        <w:rPr>
          <w:rStyle w:val="af1"/>
          <w:sz w:val="28"/>
          <w:szCs w:val="28"/>
        </w:rPr>
        <w:t xml:space="preserve">от </w:t>
      </w:r>
      <w:r w:rsidR="00EF56EA">
        <w:rPr>
          <w:rStyle w:val="af1"/>
          <w:sz w:val="28"/>
          <w:szCs w:val="28"/>
        </w:rPr>
        <w:t>11</w:t>
      </w:r>
      <w:r w:rsidR="002E1CE3">
        <w:rPr>
          <w:rStyle w:val="af1"/>
          <w:sz w:val="28"/>
          <w:szCs w:val="28"/>
        </w:rPr>
        <w:t xml:space="preserve"> </w:t>
      </w:r>
      <w:r w:rsidR="00EF56EA">
        <w:rPr>
          <w:rStyle w:val="af1"/>
          <w:sz w:val="28"/>
          <w:szCs w:val="28"/>
        </w:rPr>
        <w:t>ма</w:t>
      </w:r>
      <w:r w:rsidR="002E1CE3">
        <w:rPr>
          <w:rStyle w:val="af1"/>
          <w:sz w:val="28"/>
          <w:szCs w:val="28"/>
        </w:rPr>
        <w:t>р</w:t>
      </w:r>
      <w:r w:rsidR="00EF56EA">
        <w:rPr>
          <w:rStyle w:val="af1"/>
          <w:sz w:val="28"/>
          <w:szCs w:val="28"/>
        </w:rPr>
        <w:t>т</w:t>
      </w:r>
      <w:r w:rsidR="002E1CE3">
        <w:rPr>
          <w:rStyle w:val="af1"/>
          <w:sz w:val="28"/>
          <w:szCs w:val="28"/>
        </w:rPr>
        <w:t>а 2016г</w:t>
      </w:r>
      <w:r w:rsidR="003C6233">
        <w:rPr>
          <w:rStyle w:val="af1"/>
          <w:sz w:val="28"/>
          <w:szCs w:val="28"/>
        </w:rPr>
        <w:t xml:space="preserve">. </w:t>
      </w:r>
      <w:r w:rsidR="003C6233" w:rsidRPr="0018444B">
        <w:rPr>
          <w:b/>
          <w:sz w:val="28"/>
          <w:szCs w:val="28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</w:p>
    <w:p w:rsidR="00955C57" w:rsidRPr="002C336E" w:rsidRDefault="00955C57" w:rsidP="003C6233">
      <w:pPr>
        <w:jc w:val="center"/>
        <w:rPr>
          <w:b/>
          <w:color w:val="000000"/>
          <w:sz w:val="28"/>
          <w:szCs w:val="28"/>
        </w:rPr>
      </w:pPr>
    </w:p>
    <w:p w:rsidR="00955C57" w:rsidRPr="00840998" w:rsidRDefault="00955C57" w:rsidP="00955C57">
      <w:pPr>
        <w:jc w:val="both"/>
        <w:rPr>
          <w:b/>
          <w:color w:val="000000"/>
        </w:rPr>
      </w:pPr>
      <w:bookmarkStart w:id="2" w:name="OLE_LINK16"/>
      <w:bookmarkEnd w:id="1"/>
    </w:p>
    <w:bookmarkEnd w:id="2"/>
    <w:p w:rsidR="005F3766" w:rsidRPr="00840998" w:rsidRDefault="005F3766" w:rsidP="005F3766">
      <w:pPr>
        <w:widowControl w:val="0"/>
        <w:adjustRightInd w:val="0"/>
        <w:spacing w:line="360" w:lineRule="auto"/>
        <w:ind w:right="-2"/>
        <w:rPr>
          <w:bCs/>
        </w:rPr>
      </w:pPr>
      <w:r w:rsidRPr="00840998">
        <w:rPr>
          <w:b/>
          <w:color w:val="000000"/>
        </w:rPr>
        <w:t>г. Тольятти</w:t>
      </w:r>
      <w:r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ab/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F438C">
        <w:rPr>
          <w:b/>
          <w:color w:val="000000"/>
        </w:rPr>
        <w:tab/>
      </w:r>
      <w:r w:rsidRPr="00840998">
        <w:rPr>
          <w:b/>
          <w:color w:val="000000"/>
        </w:rPr>
        <w:t>«</w:t>
      </w:r>
      <w:r w:rsidR="00DA49A8">
        <w:rPr>
          <w:b/>
          <w:color w:val="000000"/>
        </w:rPr>
        <w:t>2</w:t>
      </w:r>
      <w:r w:rsidR="00EF56EA">
        <w:rPr>
          <w:b/>
          <w:color w:val="000000"/>
        </w:rPr>
        <w:t>8</w:t>
      </w:r>
      <w:r w:rsidRPr="00840998">
        <w:rPr>
          <w:b/>
          <w:color w:val="000000"/>
        </w:rPr>
        <w:t>»</w:t>
      </w:r>
      <w:r w:rsidR="00661C94">
        <w:rPr>
          <w:b/>
          <w:color w:val="000000"/>
        </w:rPr>
        <w:t xml:space="preserve"> а</w:t>
      </w:r>
      <w:r w:rsidR="00EF56EA">
        <w:rPr>
          <w:b/>
          <w:color w:val="000000"/>
        </w:rPr>
        <w:t>п</w:t>
      </w:r>
      <w:r w:rsidR="003C6233">
        <w:rPr>
          <w:b/>
          <w:color w:val="000000"/>
        </w:rPr>
        <w:t>р</w:t>
      </w:r>
      <w:r w:rsidR="00EF56EA">
        <w:rPr>
          <w:b/>
          <w:color w:val="000000"/>
        </w:rPr>
        <w:t>еля</w:t>
      </w:r>
      <w:r w:rsidR="00326784">
        <w:rPr>
          <w:b/>
          <w:color w:val="000000"/>
        </w:rPr>
        <w:t xml:space="preserve"> </w:t>
      </w:r>
      <w:r w:rsidR="005D7DEA">
        <w:rPr>
          <w:b/>
          <w:color w:val="000000"/>
        </w:rPr>
        <w:t xml:space="preserve"> </w:t>
      </w:r>
      <w:r w:rsidRPr="00840998">
        <w:rPr>
          <w:b/>
          <w:color w:val="000000"/>
        </w:rPr>
        <w:t>201</w:t>
      </w:r>
      <w:r w:rsidR="00661C94">
        <w:rPr>
          <w:b/>
          <w:color w:val="000000"/>
        </w:rPr>
        <w:t>6</w:t>
      </w:r>
      <w:r w:rsidRPr="00840998">
        <w:rPr>
          <w:b/>
          <w:color w:val="000000"/>
        </w:rPr>
        <w:t xml:space="preserve"> г</w:t>
      </w:r>
      <w:r>
        <w:rPr>
          <w:b/>
          <w:color w:val="000000"/>
        </w:rPr>
        <w:t>.</w:t>
      </w:r>
      <w:r w:rsidRPr="00840998">
        <w:rPr>
          <w:b/>
          <w:color w:val="000000"/>
        </w:rPr>
        <w:t xml:space="preserve"> </w:t>
      </w:r>
    </w:p>
    <w:p w:rsidR="005F3766" w:rsidRPr="00BC5032" w:rsidRDefault="005F3766" w:rsidP="005F3766">
      <w:pPr>
        <w:spacing w:line="360" w:lineRule="auto"/>
        <w:jc w:val="both"/>
        <w:rPr>
          <w:b/>
          <w:bCs/>
        </w:rPr>
      </w:pPr>
    </w:p>
    <w:p w:rsidR="005F3766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C5032">
        <w:rPr>
          <w:b/>
          <w:bCs/>
        </w:rPr>
        <w:t>Место</w:t>
      </w:r>
      <w:r>
        <w:rPr>
          <w:b/>
          <w:bCs/>
        </w:rPr>
        <w:t xml:space="preserve"> проведения процедуры оценки и сопоставления заявок на участие в конкурсе: </w:t>
      </w:r>
      <w:r w:rsidRPr="00BC5032">
        <w:t xml:space="preserve">445028, </w:t>
      </w:r>
      <w:proofErr w:type="spellStart"/>
      <w:r w:rsidRPr="00BC5032">
        <w:t>г.о</w:t>
      </w:r>
      <w:proofErr w:type="spellEnd"/>
      <w:r w:rsidRPr="00BC5032">
        <w:t>. Тольятти, б-р Королева, 13</w:t>
      </w:r>
      <w:r>
        <w:t xml:space="preserve">, </w:t>
      </w:r>
      <w:r w:rsidRPr="00BC5032">
        <w:t>МАУ городского округа Тольятти «Агентство экономического развития»,</w:t>
      </w:r>
      <w:r w:rsidRPr="007C6771">
        <w:rPr>
          <w:bCs/>
        </w:rPr>
        <w:t xml:space="preserve">  </w:t>
      </w:r>
      <w:proofErr w:type="spellStart"/>
      <w:r w:rsidRPr="007C6771">
        <w:rPr>
          <w:bCs/>
        </w:rPr>
        <w:t>каб</w:t>
      </w:r>
      <w:proofErr w:type="spellEnd"/>
      <w:r w:rsidRPr="007C6771">
        <w:rPr>
          <w:bCs/>
        </w:rPr>
        <w:t>. 104</w:t>
      </w:r>
      <w:r>
        <w:rPr>
          <w:bCs/>
        </w:rPr>
        <w:t>.</w:t>
      </w:r>
    </w:p>
    <w:p w:rsidR="005F3766" w:rsidRPr="008F0433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8F0433">
        <w:rPr>
          <w:b/>
          <w:bCs/>
        </w:rPr>
        <w:t xml:space="preserve">Дата и время </w:t>
      </w:r>
      <w:r w:rsidR="009E62DE">
        <w:rPr>
          <w:b/>
          <w:bCs/>
        </w:rPr>
        <w:t xml:space="preserve">подведения итогов </w:t>
      </w:r>
      <w:r w:rsidRPr="008F0433">
        <w:rPr>
          <w:b/>
          <w:bCs/>
        </w:rPr>
        <w:t xml:space="preserve"> процедуры </w:t>
      </w:r>
      <w:r>
        <w:rPr>
          <w:b/>
          <w:bCs/>
        </w:rPr>
        <w:t>оценки и сопоставления</w:t>
      </w:r>
      <w:r w:rsidRPr="008F0433">
        <w:rPr>
          <w:b/>
          <w:bCs/>
        </w:rPr>
        <w:t xml:space="preserve"> заявок на участие в конкурсе: </w:t>
      </w:r>
      <w:r w:rsidR="00EF56EA">
        <w:rPr>
          <w:bCs/>
        </w:rPr>
        <w:t xml:space="preserve">«28» апреля  2016 г. </w:t>
      </w:r>
      <w:r w:rsidR="00842DF8">
        <w:rPr>
          <w:bCs/>
        </w:rPr>
        <w:t>1</w:t>
      </w:r>
      <w:r w:rsidR="005D7DEA">
        <w:rPr>
          <w:bCs/>
        </w:rPr>
        <w:t>1</w:t>
      </w:r>
      <w:r w:rsidRPr="008F0433">
        <w:rPr>
          <w:bCs/>
        </w:rPr>
        <w:t xml:space="preserve"> часов </w:t>
      </w:r>
      <w:r w:rsidR="00842DF8">
        <w:rPr>
          <w:bCs/>
        </w:rPr>
        <w:t>00</w:t>
      </w:r>
      <w:r w:rsidRPr="008F0433">
        <w:rPr>
          <w:bCs/>
        </w:rPr>
        <w:t xml:space="preserve"> минут.  </w:t>
      </w:r>
    </w:p>
    <w:p w:rsidR="005F3766" w:rsidRPr="006F49B1" w:rsidRDefault="00867DCB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rPr>
          <w:b/>
          <w:bCs/>
        </w:rPr>
        <w:t>Подведение итогов</w:t>
      </w:r>
      <w:r w:rsidR="009E62DE">
        <w:rPr>
          <w:b/>
          <w:bCs/>
        </w:rPr>
        <w:t xml:space="preserve"> о</w:t>
      </w:r>
      <w:r w:rsidR="005F3766">
        <w:rPr>
          <w:b/>
          <w:bCs/>
        </w:rPr>
        <w:t>ценк</w:t>
      </w:r>
      <w:r w:rsidR="009E62DE">
        <w:rPr>
          <w:b/>
          <w:bCs/>
        </w:rPr>
        <w:t>и</w:t>
      </w:r>
      <w:r w:rsidR="005F3766">
        <w:rPr>
          <w:b/>
          <w:bCs/>
        </w:rPr>
        <w:t xml:space="preserve"> и сопоставлени</w:t>
      </w:r>
      <w:r w:rsidR="009E62DE">
        <w:rPr>
          <w:b/>
          <w:bCs/>
        </w:rPr>
        <w:t>я</w:t>
      </w:r>
      <w:r w:rsidR="005F3766" w:rsidRPr="006F49B1">
        <w:rPr>
          <w:b/>
        </w:rPr>
        <w:t xml:space="preserve"> заявок на участие в конкурсе </w:t>
      </w:r>
      <w:r w:rsidR="005F3766" w:rsidRPr="006F49B1">
        <w:rPr>
          <w:b/>
          <w:bCs/>
        </w:rPr>
        <w:t>осуществля</w:t>
      </w:r>
      <w:r>
        <w:rPr>
          <w:b/>
          <w:bCs/>
        </w:rPr>
        <w:t>ется</w:t>
      </w:r>
      <w:r w:rsidR="005F3766" w:rsidRPr="006F49B1">
        <w:rPr>
          <w:b/>
          <w:bCs/>
        </w:rPr>
        <w:t xml:space="preserve">  комиссией в составе</w:t>
      </w:r>
      <w:r w:rsidR="005F3766" w:rsidRPr="006F49B1">
        <w:rPr>
          <w:b/>
          <w:bCs/>
          <w:color w:val="000000"/>
        </w:rPr>
        <w:t>:</w:t>
      </w:r>
    </w:p>
    <w:p w:rsidR="00A85666" w:rsidRPr="00F23E4C" w:rsidRDefault="00A85666" w:rsidP="00A85666">
      <w:pPr>
        <w:pStyle w:val="a7"/>
        <w:spacing w:before="100" w:beforeAutospacing="1" w:after="120"/>
        <w:ind w:left="426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761D4A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761D4A">
        <w:rPr>
          <w:rFonts w:ascii="Times New Roman" w:hAnsi="Times New Roman"/>
          <w:sz w:val="24"/>
          <w:szCs w:val="24"/>
        </w:rPr>
        <w:t xml:space="preserve"> </w:t>
      </w:r>
      <w:r w:rsidR="00CA5815">
        <w:rPr>
          <w:rFonts w:ascii="Times New Roman" w:hAnsi="Times New Roman"/>
          <w:sz w:val="24"/>
          <w:szCs w:val="24"/>
        </w:rPr>
        <w:t>Лях</w:t>
      </w:r>
      <w:r w:rsidRPr="009B32D7">
        <w:rPr>
          <w:rFonts w:ascii="Times New Roman" w:hAnsi="Times New Roman"/>
          <w:sz w:val="24"/>
          <w:szCs w:val="24"/>
        </w:rPr>
        <w:t xml:space="preserve"> </w:t>
      </w:r>
      <w:r w:rsidR="00CA5815">
        <w:rPr>
          <w:rFonts w:ascii="Times New Roman" w:hAnsi="Times New Roman"/>
          <w:sz w:val="24"/>
          <w:szCs w:val="24"/>
        </w:rPr>
        <w:t>Е</w:t>
      </w:r>
      <w:r w:rsidRPr="009B32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9B32D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="00CA5815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иректор МАУ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 Тольятти «АЭР»</w:t>
      </w:r>
      <w:r w:rsidRPr="009B32D7">
        <w:rPr>
          <w:rFonts w:ascii="Times New Roman" w:hAnsi="Times New Roman"/>
          <w:sz w:val="24"/>
          <w:szCs w:val="24"/>
        </w:rPr>
        <w:t>.</w:t>
      </w:r>
    </w:p>
    <w:p w:rsidR="00A85666" w:rsidRPr="00761D4A" w:rsidRDefault="00A85666" w:rsidP="00A85666">
      <w:pPr>
        <w:pStyle w:val="a7"/>
        <w:spacing w:before="100" w:beforeAutospacing="1" w:after="120"/>
        <w:ind w:left="0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A85666" w:rsidRDefault="00A85666" w:rsidP="00A85666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8444B">
        <w:rPr>
          <w:rFonts w:ascii="Times New Roman" w:hAnsi="Times New Roman"/>
          <w:b/>
          <w:sz w:val="24"/>
          <w:szCs w:val="24"/>
        </w:rPr>
        <w:t>Члены конкурсной комиссии:</w:t>
      </w:r>
    </w:p>
    <w:p w:rsidR="00661C94" w:rsidRPr="00661C94" w:rsidRDefault="00661C94" w:rsidP="00A85666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sz w:val="24"/>
          <w:szCs w:val="24"/>
        </w:rPr>
      </w:pPr>
      <w:r w:rsidRPr="00661C94">
        <w:rPr>
          <w:rFonts w:ascii="Times New Roman" w:hAnsi="Times New Roman"/>
          <w:sz w:val="24"/>
          <w:szCs w:val="24"/>
        </w:rPr>
        <w:t xml:space="preserve">Горшков Д.В. – Заместитель директора МАУ </w:t>
      </w:r>
      <w:proofErr w:type="spellStart"/>
      <w:r w:rsidRPr="00661C94">
        <w:rPr>
          <w:rFonts w:ascii="Times New Roman" w:hAnsi="Times New Roman"/>
          <w:sz w:val="24"/>
          <w:szCs w:val="24"/>
        </w:rPr>
        <w:t>г.о</w:t>
      </w:r>
      <w:proofErr w:type="spellEnd"/>
      <w:r w:rsidRPr="00661C94">
        <w:rPr>
          <w:rFonts w:ascii="Times New Roman" w:hAnsi="Times New Roman"/>
          <w:sz w:val="24"/>
          <w:szCs w:val="24"/>
        </w:rPr>
        <w:t>. Тольятти «АЭР».</w:t>
      </w:r>
    </w:p>
    <w:p w:rsidR="00A85666" w:rsidRPr="000D2ED1" w:rsidRDefault="00A85666" w:rsidP="00A85666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0D2ED1">
        <w:rPr>
          <w:rFonts w:ascii="Times New Roman" w:hAnsi="Times New Roman"/>
          <w:sz w:val="24"/>
          <w:szCs w:val="24"/>
        </w:rPr>
        <w:t xml:space="preserve">Потапова И.М. – Начальник </w:t>
      </w:r>
      <w:proofErr w:type="gramStart"/>
      <w:r w:rsidRPr="000D2ED1">
        <w:rPr>
          <w:rFonts w:ascii="Times New Roman" w:hAnsi="Times New Roman"/>
          <w:sz w:val="24"/>
          <w:szCs w:val="24"/>
        </w:rPr>
        <w:t>отдела поддержки предпринимательства департамента экономического развития мэрии городского округа Тольятти</w:t>
      </w:r>
      <w:proofErr w:type="gramEnd"/>
      <w:r w:rsidRPr="000D2ED1">
        <w:rPr>
          <w:rFonts w:ascii="Times New Roman" w:hAnsi="Times New Roman"/>
          <w:sz w:val="24"/>
          <w:szCs w:val="24"/>
        </w:rPr>
        <w:t>.</w:t>
      </w:r>
    </w:p>
    <w:p w:rsidR="00A85666" w:rsidRPr="00CF23EA" w:rsidRDefault="00A85666" w:rsidP="00A85666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З.Ф. – 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НОУ «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ТИТТиП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профессор, доктор </w:t>
      </w:r>
      <w:proofErr w:type="spellStart"/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пед</w:t>
      </w:r>
      <w:proofErr w:type="spellEnd"/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. наук, патентный поверенный (без ограничений) №807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A85666" w:rsidRPr="00815A72" w:rsidRDefault="00A85666" w:rsidP="00A85666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proofErr w:type="spellStart"/>
      <w:r w:rsidRPr="00CF23EA">
        <w:rPr>
          <w:rFonts w:ascii="Times New Roman" w:hAnsi="Times New Roman"/>
          <w:sz w:val="24"/>
          <w:szCs w:val="24"/>
        </w:rPr>
        <w:t>Сажнев</w:t>
      </w:r>
      <w:proofErr w:type="spellEnd"/>
      <w:r w:rsidRPr="00CF23EA">
        <w:rPr>
          <w:rFonts w:ascii="Times New Roman" w:hAnsi="Times New Roman"/>
          <w:sz w:val="24"/>
          <w:szCs w:val="24"/>
        </w:rPr>
        <w:t xml:space="preserve"> А.В. – Руководитель фонда «Люди дела»</w:t>
      </w:r>
    </w:p>
    <w:p w:rsidR="00A85666" w:rsidRPr="00134DE1" w:rsidRDefault="00A85666" w:rsidP="00A85666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34DE1">
        <w:rPr>
          <w:rFonts w:ascii="Times New Roman" w:hAnsi="Times New Roman"/>
          <w:sz w:val="24"/>
          <w:szCs w:val="24"/>
        </w:rPr>
        <w:t xml:space="preserve">Гусейнов М.Н. – Депутат Думы городского округа Тольятти </w:t>
      </w:r>
      <w:r w:rsidRPr="00134DE1">
        <w:rPr>
          <w:rFonts w:ascii="Times New Roman" w:hAnsi="Times New Roman"/>
          <w:sz w:val="24"/>
          <w:szCs w:val="24"/>
          <w:lang w:val="en-US"/>
        </w:rPr>
        <w:t>VI</w:t>
      </w:r>
      <w:r w:rsidRPr="00134DE1">
        <w:rPr>
          <w:rFonts w:ascii="Times New Roman" w:hAnsi="Times New Roman"/>
          <w:sz w:val="24"/>
          <w:szCs w:val="24"/>
        </w:rPr>
        <w:t xml:space="preserve"> созыва.</w:t>
      </w:r>
      <w:r w:rsidRPr="00134DE1">
        <w:rPr>
          <w:rFonts w:ascii="Times New Roman" w:hAnsi="Times New Roman"/>
          <w:b/>
          <w:sz w:val="24"/>
          <w:szCs w:val="24"/>
        </w:rPr>
        <w:t xml:space="preserve"> </w:t>
      </w:r>
    </w:p>
    <w:p w:rsidR="00683B52" w:rsidRPr="00CF23EA" w:rsidRDefault="00683B52" w:rsidP="00683B52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E96F55" w:rsidRPr="009B32D7" w:rsidRDefault="00E96F55" w:rsidP="00E96F55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5F3766" w:rsidRDefault="005F3766" w:rsidP="00433958">
      <w:pPr>
        <w:pStyle w:val="a7"/>
        <w:spacing w:before="75" w:after="120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  <w:r w:rsidRPr="00DC4903">
        <w:rPr>
          <w:rStyle w:val="af1"/>
          <w:rFonts w:ascii="Times New Roman" w:hAnsi="Times New Roman"/>
          <w:color w:val="111111"/>
          <w:sz w:val="24"/>
          <w:szCs w:val="24"/>
        </w:rPr>
        <w:t>Секретарь конкурсной комиссии: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 </w:t>
      </w:r>
      <w:proofErr w:type="spellStart"/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>Афонин</w:t>
      </w:r>
      <w:proofErr w:type="spellEnd"/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Л.А.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– </w:t>
      </w:r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Специалист по работе с резидентами 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МАУ городского округа Тольятти «АЭР».</w:t>
      </w:r>
    </w:p>
    <w:p w:rsidR="003F2821" w:rsidRDefault="003F2821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8D42C5" w:rsidRDefault="008D42C5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C17645" w:rsidRDefault="0059015C" w:rsidP="00433958">
      <w:pPr>
        <w:pStyle w:val="a7"/>
        <w:numPr>
          <w:ilvl w:val="0"/>
          <w:numId w:val="4"/>
        </w:numPr>
        <w:spacing w:before="75" w:after="120"/>
        <w:ind w:left="426" w:right="240" w:hanging="426"/>
        <w:jc w:val="both"/>
        <w:outlineLvl w:val="3"/>
        <w:rPr>
          <w:rStyle w:val="af1"/>
          <w:rFonts w:ascii="Times New Roman" w:hAnsi="Times New Roman"/>
          <w:color w:val="111111"/>
          <w:sz w:val="24"/>
          <w:szCs w:val="24"/>
        </w:rPr>
      </w:pP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Оценка и сопоставление заявок на участие в конкурсе осуществля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ла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с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ь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="00C17645">
        <w:rPr>
          <w:rStyle w:val="af1"/>
          <w:rFonts w:ascii="Times New Roman" w:hAnsi="Times New Roman"/>
          <w:color w:val="111111"/>
          <w:sz w:val="24"/>
          <w:szCs w:val="24"/>
        </w:rPr>
        <w:t>следующим образом:</w:t>
      </w:r>
    </w:p>
    <w:p w:rsidR="00143EED" w:rsidRPr="00312D1D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Основным критерием оценки проектов Участников является качество</w:t>
      </w:r>
      <w:r>
        <w:rPr>
          <w:rFonts w:ascii="Times New Roman" w:hAnsi="Times New Roman"/>
          <w:sz w:val="24"/>
          <w:szCs w:val="24"/>
        </w:rPr>
        <w:t xml:space="preserve"> бизнес-плана. </w:t>
      </w:r>
      <w:r w:rsidR="00AE4427">
        <w:rPr>
          <w:rFonts w:ascii="Times New Roman" w:hAnsi="Times New Roman"/>
          <w:sz w:val="24"/>
          <w:szCs w:val="24"/>
        </w:rPr>
        <w:t>При этом оцениваю</w:t>
      </w:r>
      <w:r w:rsidR="00143EED" w:rsidRPr="00312D1D">
        <w:rPr>
          <w:rFonts w:ascii="Times New Roman" w:hAnsi="Times New Roman"/>
          <w:sz w:val="24"/>
          <w:szCs w:val="24"/>
        </w:rPr>
        <w:t>тся:</w:t>
      </w: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описания преимуществ товара или услуги в сравнении с существующими аналогами/конкурентами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1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Pr="00312D1D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баллам.</w:t>
      </w:r>
    </w:p>
    <w:p w:rsidR="00AE4427" w:rsidRPr="008E2C06" w:rsidRDefault="005061D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Коц</m:t>
          </m:r>
          <m:r>
            <m:rPr>
              <m:sty m:val="p"/>
            </m:rP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Кзнач*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№1. </w:t>
      </w: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8E2C06" w:rsidRDefault="008E2C06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8E2C06" w:rsidRDefault="008E2C06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8E2C06" w:rsidRPr="00C621B1" w:rsidRDefault="00944555" w:rsidP="000B3DDE">
      <w:pPr>
        <w:ind w:left="426"/>
        <w:contextualSpacing/>
        <w:jc w:val="both"/>
      </w:pPr>
      <w:r>
        <w:rPr>
          <w:lang w:val="en-US"/>
        </w:rPr>
        <w:t>X</w:t>
      </w:r>
      <w:r w:rsidR="008E2C06" w:rsidRPr="00C621B1">
        <w:t xml:space="preserve"> – </w:t>
      </w:r>
      <w:r w:rsidR="008E2C06">
        <w:t>количество баллов</w:t>
      </w:r>
      <w:r>
        <w:t xml:space="preserve"> (от 1 до 5)</w:t>
      </w:r>
      <w:r w:rsidR="008E2C06">
        <w:t>, присвоенных данному критерию.</w:t>
      </w:r>
    </w:p>
    <w:p w:rsidR="008E2C06" w:rsidRPr="008E2C06" w:rsidRDefault="008E2C06" w:rsidP="008E2C06">
      <w:pPr>
        <w:pStyle w:val="a7"/>
        <w:ind w:left="851"/>
        <w:jc w:val="both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проработки маркетинговой, операционной и финансовой стратегий развития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 w:rsidR="006A238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6A23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</w:t>
      </w:r>
      <w:r w:rsidR="007C2E25">
        <w:rPr>
          <w:rFonts w:ascii="Times New Roman" w:hAnsi="Times New Roman"/>
          <w:sz w:val="24"/>
          <w:szCs w:val="24"/>
        </w:rPr>
        <w:t xml:space="preserve"> (формула № 1)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7C2E25" w:rsidRPr="00312D1D" w:rsidRDefault="007C2E25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«П</w:t>
      </w:r>
      <w:r w:rsidR="00143EED" w:rsidRPr="003F2821">
        <w:rPr>
          <w:rFonts w:ascii="Times New Roman" w:hAnsi="Times New Roman"/>
          <w:b/>
          <w:sz w:val="24"/>
          <w:szCs w:val="24"/>
        </w:rPr>
        <w:t>рогнозируемые изменения финансовых результатов и количества рабочих мест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6A238F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в случае если для критерия конкурса установлено увеличение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значения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условий;</w:t>
      </w:r>
    </w:p>
    <w:p w:rsidR="00C22CAE" w:rsidRDefault="00C547C3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№2. </w:t>
      </w:r>
    </w:p>
    <w:p w:rsidR="00C22CAE" w:rsidRDefault="00C22CAE" w:rsidP="000B3DDE">
      <w:pPr>
        <w:ind w:left="426"/>
        <w:contextualSpacing/>
        <w:jc w:val="both"/>
      </w:pPr>
      <w:r>
        <w:t>Где:</w:t>
      </w:r>
    </w:p>
    <w:p w:rsidR="00C22CAE" w:rsidRDefault="00C22CAE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C22CAE" w:rsidRDefault="00C22CAE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C22CAE" w:rsidRPr="00C621B1" w:rsidRDefault="00C22CAE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proofErr w:type="gramStart"/>
      <w:r>
        <w:t>значение</w:t>
      </w:r>
      <w:proofErr w:type="gramEnd"/>
      <w:r>
        <w:t xml:space="preserve"> критерия указанное в заявке Участника конкурса.</w:t>
      </w:r>
    </w:p>
    <w:p w:rsidR="00C22CAE" w:rsidRPr="00C621B1" w:rsidRDefault="00C22CAE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Xmin</w:t>
      </w:r>
      <w:proofErr w:type="spellEnd"/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  <w:proofErr w:type="gramEnd"/>
    </w:p>
    <w:p w:rsidR="00C22CAE" w:rsidRDefault="00C22CAE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Xmax</w:t>
      </w:r>
      <w:proofErr w:type="spellEnd"/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  <w:proofErr w:type="gramEnd"/>
    </w:p>
    <w:p w:rsidR="00C22CAE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C22CAE" w:rsidRPr="00312D1D" w:rsidRDefault="00C22CAE" w:rsidP="006A238F">
      <w:pPr>
        <w:pStyle w:val="a7"/>
        <w:ind w:left="862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4) </w:t>
      </w:r>
      <w:r w:rsidR="003F2821" w:rsidRPr="003F2821">
        <w:rPr>
          <w:rFonts w:ascii="Times New Roman" w:hAnsi="Times New Roman"/>
          <w:b/>
          <w:sz w:val="24"/>
          <w:szCs w:val="24"/>
        </w:rPr>
        <w:t>«С</w:t>
      </w:r>
      <w:r w:rsidRPr="003F2821">
        <w:rPr>
          <w:rFonts w:ascii="Times New Roman" w:hAnsi="Times New Roman"/>
          <w:b/>
          <w:sz w:val="24"/>
          <w:szCs w:val="24"/>
        </w:rPr>
        <w:t>рок окупаемости проекта</w:t>
      </w:r>
      <w:r w:rsidR="003F2821" w:rsidRPr="003F2821">
        <w:rPr>
          <w:rFonts w:ascii="Times New Roman" w:hAnsi="Times New Roman"/>
          <w:b/>
          <w:sz w:val="24"/>
          <w:szCs w:val="24"/>
        </w:rPr>
        <w:t>»</w:t>
      </w:r>
      <w:r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lastRenderedPageBreak/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Pr="00312D1D" w:rsidRDefault="008E2C06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в случае если для критерия конкурса установлено уменьшение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наибольшего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 и значения,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</w:t>
      </w:r>
      <w:proofErr w:type="gramStart"/>
      <w:r w:rsidRPr="00312D1D">
        <w:rPr>
          <w:rFonts w:ascii="Times New Roman" w:hAnsi="Times New Roman"/>
          <w:sz w:val="24"/>
          <w:szCs w:val="24"/>
        </w:rPr>
        <w:t>значений</w:t>
      </w:r>
      <w:proofErr w:type="gramEnd"/>
      <w:r w:rsidRPr="00312D1D">
        <w:rPr>
          <w:rFonts w:ascii="Times New Roman" w:hAnsi="Times New Roman"/>
          <w:sz w:val="24"/>
          <w:szCs w:val="24"/>
        </w:rPr>
        <w:t xml:space="preserve"> содержащихся во всех заявках на участие в конкурсе условий;</w:t>
      </w:r>
    </w:p>
    <w:p w:rsidR="00C22CAE" w:rsidRDefault="00C547C3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№3. </w:t>
      </w:r>
    </w:p>
    <w:p w:rsidR="008E2C06" w:rsidRPr="00312D1D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7C2E25" w:rsidRDefault="007C2E25" w:rsidP="000B3DDE">
      <w:pPr>
        <w:ind w:left="426"/>
        <w:contextualSpacing/>
        <w:jc w:val="both"/>
      </w:pPr>
      <w:r>
        <w:t>Где:</w:t>
      </w:r>
    </w:p>
    <w:p w:rsidR="007C2E25" w:rsidRDefault="007C2E25" w:rsidP="000B3DDE">
      <w:pPr>
        <w:ind w:left="426"/>
        <w:contextualSpacing/>
        <w:jc w:val="both"/>
      </w:pPr>
      <w:proofErr w:type="spellStart"/>
      <w:r>
        <w:t>К</w:t>
      </w:r>
      <w:r w:rsidRPr="00C621B1">
        <w:rPr>
          <w:sz w:val="16"/>
          <w:szCs w:val="16"/>
        </w:rPr>
        <w:t>оц</w:t>
      </w:r>
      <w:proofErr w:type="spellEnd"/>
      <w:r>
        <w:t xml:space="preserve"> – искомый коэффициент оценки.</w:t>
      </w:r>
    </w:p>
    <w:p w:rsidR="007C2E25" w:rsidRDefault="007C2E25" w:rsidP="000B3DDE">
      <w:pPr>
        <w:ind w:left="426"/>
        <w:contextualSpacing/>
        <w:jc w:val="both"/>
      </w:pPr>
      <w:r>
        <w:t xml:space="preserve">К </w:t>
      </w:r>
      <w:proofErr w:type="spellStart"/>
      <w:proofErr w:type="gramStart"/>
      <w:r w:rsidRPr="00C621B1">
        <w:rPr>
          <w:sz w:val="16"/>
          <w:szCs w:val="16"/>
        </w:rPr>
        <w:t>знач</w:t>
      </w:r>
      <w:proofErr w:type="spellEnd"/>
      <w:proofErr w:type="gramEnd"/>
      <w:r>
        <w:t xml:space="preserve"> – коэффициент значимости для данного критерия, равный 0,25</w:t>
      </w:r>
    </w:p>
    <w:p w:rsidR="007C2E25" w:rsidRPr="00C621B1" w:rsidRDefault="007C2E25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proofErr w:type="gramStart"/>
      <w:r>
        <w:t>значение</w:t>
      </w:r>
      <w:proofErr w:type="gramEnd"/>
      <w:r>
        <w:t xml:space="preserve"> критерия указанное в заявке Участника конкурса.</w:t>
      </w:r>
    </w:p>
    <w:p w:rsidR="007C2E25" w:rsidRPr="00C621B1" w:rsidRDefault="007C2E25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Xmin</w:t>
      </w:r>
      <w:proofErr w:type="spellEnd"/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  <w:proofErr w:type="gramEnd"/>
    </w:p>
    <w:p w:rsidR="007C2E25" w:rsidRDefault="007C2E25" w:rsidP="000B3DDE">
      <w:pPr>
        <w:ind w:left="426"/>
        <w:contextualSpacing/>
        <w:jc w:val="both"/>
      </w:pPr>
      <w:proofErr w:type="spellStart"/>
      <w:proofErr w:type="gramStart"/>
      <w:r>
        <w:rPr>
          <w:lang w:val="en-US"/>
        </w:rPr>
        <w:t>Xmax</w:t>
      </w:r>
      <w:proofErr w:type="spellEnd"/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  <w:proofErr w:type="gramEnd"/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Содержащиеся в заявках на участие в конкурсе условия оцениваются Конкурсной комиссией путем сравнения результатов суммирования итоговой величины, определенной в порядке, предусмотренном </w:t>
      </w:r>
      <w:r w:rsidR="007C2E25">
        <w:rPr>
          <w:rFonts w:ascii="Times New Roman" w:hAnsi="Times New Roman"/>
          <w:sz w:val="24"/>
          <w:szCs w:val="24"/>
        </w:rPr>
        <w:t>формула</w:t>
      </w:r>
      <w:r w:rsidRPr="00312D1D">
        <w:rPr>
          <w:rFonts w:ascii="Times New Roman" w:hAnsi="Times New Roman"/>
          <w:sz w:val="24"/>
          <w:szCs w:val="24"/>
        </w:rPr>
        <w:t xml:space="preserve">ми </w:t>
      </w:r>
      <w:r w:rsidR="007C2E25">
        <w:rPr>
          <w:rFonts w:ascii="Times New Roman" w:hAnsi="Times New Roman"/>
          <w:sz w:val="24"/>
          <w:szCs w:val="24"/>
        </w:rPr>
        <w:t>2</w:t>
      </w:r>
      <w:r w:rsidRPr="00312D1D">
        <w:rPr>
          <w:rFonts w:ascii="Times New Roman" w:hAnsi="Times New Roman"/>
          <w:sz w:val="24"/>
          <w:szCs w:val="24"/>
        </w:rPr>
        <w:t>,</w:t>
      </w:r>
      <w:r w:rsidR="007C2E25">
        <w:rPr>
          <w:rFonts w:ascii="Times New Roman" w:hAnsi="Times New Roman"/>
          <w:sz w:val="24"/>
          <w:szCs w:val="24"/>
        </w:rPr>
        <w:t xml:space="preserve"> 3</w:t>
      </w:r>
      <w:r w:rsidRPr="00312D1D">
        <w:rPr>
          <w:rFonts w:ascii="Times New Roman" w:hAnsi="Times New Roman"/>
          <w:sz w:val="24"/>
          <w:szCs w:val="24"/>
        </w:rPr>
        <w:t xml:space="preserve"> и величины, определенной </w:t>
      </w:r>
      <w:r w:rsidR="007C2E25">
        <w:rPr>
          <w:rFonts w:ascii="Times New Roman" w:hAnsi="Times New Roman"/>
          <w:sz w:val="24"/>
          <w:szCs w:val="24"/>
        </w:rPr>
        <w:t>формулой 1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DE77B8" w:rsidRDefault="00DE77B8" w:rsidP="000B3DDE">
      <w:pPr>
        <w:pStyle w:val="a7"/>
        <w:autoSpaceDE w:val="0"/>
        <w:autoSpaceDN w:val="0"/>
        <w:adjustRightInd w:val="0"/>
        <w:ind w:left="426"/>
        <w:jc w:val="both"/>
        <w:outlineLvl w:val="1"/>
      </w:pPr>
    </w:p>
    <w:p w:rsidR="00FA5996" w:rsidRPr="00FA5996" w:rsidRDefault="0059015C" w:rsidP="000B3DDE">
      <w:pPr>
        <w:pStyle w:val="a7"/>
        <w:numPr>
          <w:ilvl w:val="0"/>
          <w:numId w:val="4"/>
        </w:numPr>
        <w:spacing w:after="0" w:line="360" w:lineRule="auto"/>
        <w:ind w:left="426" w:right="240" w:hanging="426"/>
        <w:jc w:val="both"/>
        <w:outlineLvl w:val="3"/>
        <w:rPr>
          <w:bCs/>
        </w:rPr>
      </w:pP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Присвоение </w:t>
      </w:r>
      <w:r w:rsidR="00FA5996" w:rsidRPr="008B0575">
        <w:rPr>
          <w:rFonts w:ascii="Times New Roman" w:hAnsi="Times New Roman"/>
          <w:b/>
          <w:sz w:val="24"/>
          <w:szCs w:val="24"/>
        </w:rPr>
        <w:t>комиссией</w:t>
      </w:r>
      <w:r w:rsidR="00FA5996"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порядковых номеров </w:t>
      </w:r>
      <w:r w:rsidR="00637EEE" w:rsidRPr="008B0575">
        <w:rPr>
          <w:rFonts w:ascii="Times New Roman" w:hAnsi="Times New Roman"/>
          <w:b/>
          <w:sz w:val="24"/>
          <w:szCs w:val="24"/>
        </w:rPr>
        <w:t xml:space="preserve">каждой заявке на участие в конкурсе осуществляется </w:t>
      </w:r>
      <w:r w:rsidR="00FA5996">
        <w:rPr>
          <w:rFonts w:ascii="Times New Roman" w:hAnsi="Times New Roman"/>
          <w:b/>
          <w:sz w:val="24"/>
          <w:szCs w:val="24"/>
        </w:rPr>
        <w:t>следующим образом:</w:t>
      </w:r>
    </w:p>
    <w:p w:rsidR="00FA5996" w:rsidRPr="00FA5996" w:rsidRDefault="00FA599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FA5996">
        <w:rPr>
          <w:rFonts w:ascii="Times New Roman" w:hAnsi="Times New Roman"/>
          <w:sz w:val="24"/>
          <w:szCs w:val="24"/>
        </w:rPr>
        <w:t>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суммы баллов. Заявке на участие в конкурсе, которая получила наибольшую сумму баллов, присваивается первый номер. В случае если несколько заявок получили одинаковую сумму баллов, первый порядковый номер присваивается заявке на участие в конкурсе, которая поступила ранее других заявок на участие в конкурсе, получивших такую же сумму баллов.</w:t>
      </w:r>
    </w:p>
    <w:p w:rsidR="00955C57" w:rsidRPr="008B0575" w:rsidRDefault="00637EEE" w:rsidP="00FA5996">
      <w:pPr>
        <w:pStyle w:val="a7"/>
        <w:spacing w:after="0" w:line="360" w:lineRule="auto"/>
        <w:ind w:left="426" w:right="240"/>
        <w:jc w:val="both"/>
        <w:outlineLvl w:val="3"/>
        <w:rPr>
          <w:bCs/>
        </w:rPr>
      </w:pPr>
      <w:r w:rsidRPr="008B0575">
        <w:rPr>
          <w:rFonts w:ascii="Times New Roman" w:hAnsi="Times New Roman"/>
          <w:b/>
          <w:sz w:val="24"/>
          <w:szCs w:val="24"/>
        </w:rPr>
        <w:t xml:space="preserve"> </w:t>
      </w:r>
    </w:p>
    <w:p w:rsidR="0065190D" w:rsidRDefault="0065190D" w:rsidP="005F3766">
      <w:pPr>
        <w:jc w:val="center"/>
        <w:rPr>
          <w:b/>
          <w:bCs/>
          <w:color w:val="000000"/>
          <w:sz w:val="20"/>
          <w:szCs w:val="20"/>
        </w:rPr>
        <w:sectPr w:rsidR="0065190D" w:rsidSect="00754CAF">
          <w:footerReference w:type="default" r:id="rId9"/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3402"/>
        <w:gridCol w:w="2694"/>
        <w:gridCol w:w="851"/>
        <w:gridCol w:w="992"/>
        <w:gridCol w:w="850"/>
        <w:gridCol w:w="851"/>
        <w:gridCol w:w="992"/>
        <w:gridCol w:w="3969"/>
      </w:tblGrid>
      <w:tr w:rsidR="00A65C21" w:rsidTr="0021298C">
        <w:trPr>
          <w:cantSplit/>
          <w:trHeight w:val="410"/>
        </w:trPr>
        <w:tc>
          <w:tcPr>
            <w:tcW w:w="568" w:type="dxa"/>
            <w:vMerge w:val="restart"/>
            <w:textDirection w:val="btL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Регистрационный номер заявки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3402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28C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4E03A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Ф.И.О</w:t>
            </w:r>
            <w:r w:rsidRPr="002128C9">
              <w:rPr>
                <w:b/>
                <w:bCs/>
                <w:color w:val="000000"/>
                <w:sz w:val="20"/>
                <w:szCs w:val="20"/>
              </w:rPr>
              <w:t xml:space="preserve"> Заявителя</w:t>
            </w:r>
          </w:p>
        </w:tc>
        <w:tc>
          <w:tcPr>
            <w:tcW w:w="2694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Юр./Почтовы</w:t>
            </w:r>
            <w:r w:rsidRPr="005607F0">
              <w:rPr>
                <w:b/>
                <w:bCs/>
                <w:color w:val="000000"/>
                <w:sz w:val="22"/>
                <w:szCs w:val="22"/>
              </w:rPr>
              <w:t>й адрес</w:t>
            </w:r>
          </w:p>
        </w:tc>
        <w:tc>
          <w:tcPr>
            <w:tcW w:w="4536" w:type="dxa"/>
            <w:gridSpan w:val="5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sz w:val="20"/>
                <w:szCs w:val="20"/>
              </w:rPr>
              <w:t>Количество баллов по критериям оценки бизнес-планов</w:t>
            </w:r>
          </w:p>
        </w:tc>
        <w:tc>
          <w:tcPr>
            <w:tcW w:w="3969" w:type="dxa"/>
            <w:vMerge w:val="restart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Решение Конкурсной комиссии</w:t>
            </w:r>
          </w:p>
        </w:tc>
      </w:tr>
      <w:tr w:rsidR="006E6D3A" w:rsidTr="0021298C">
        <w:trPr>
          <w:cantSplit/>
          <w:trHeight w:val="3345"/>
        </w:trPr>
        <w:tc>
          <w:tcPr>
            <w:tcW w:w="568" w:type="dxa"/>
            <w:vMerge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описания преимуществ *</w:t>
            </w:r>
          </w:p>
        </w:tc>
        <w:tc>
          <w:tcPr>
            <w:tcW w:w="992" w:type="dxa"/>
            <w:textDirection w:val="btLr"/>
            <w:vAlign w:val="center"/>
          </w:tcPr>
          <w:p w:rsidR="000334FE" w:rsidRDefault="006E6D3A" w:rsidP="003C6233">
            <w:pPr>
              <w:ind w:right="-108"/>
              <w:jc w:val="center"/>
              <w:rPr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проработки маркетинговой, операционной и финансовой</w:t>
            </w:r>
          </w:p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стратегий</w:t>
            </w:r>
            <w:r w:rsidRPr="007B3390">
              <w:t xml:space="preserve"> </w:t>
            </w:r>
            <w:r w:rsidRPr="0051728B">
              <w:rPr>
                <w:sz w:val="20"/>
                <w:szCs w:val="20"/>
              </w:rPr>
              <w:t>развития СМП</w:t>
            </w:r>
          </w:p>
        </w:tc>
        <w:tc>
          <w:tcPr>
            <w:tcW w:w="850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Срок окупаемости проекта</w:t>
            </w: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3C6233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Прогнозируемые изменения финансовых результатов и количества рабочих мест СМП</w:t>
            </w:r>
          </w:p>
        </w:tc>
        <w:tc>
          <w:tcPr>
            <w:tcW w:w="992" w:type="dxa"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969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98C" w:rsidTr="0021298C">
        <w:trPr>
          <w:trHeight w:val="573"/>
        </w:trPr>
        <w:tc>
          <w:tcPr>
            <w:tcW w:w="568" w:type="dxa"/>
            <w:vAlign w:val="center"/>
          </w:tcPr>
          <w:p w:rsidR="0021298C" w:rsidRPr="00411E1B" w:rsidRDefault="0021298C" w:rsidP="00E245C3">
            <w:pPr>
              <w:jc w:val="center"/>
              <w:rPr>
                <w:sz w:val="22"/>
                <w:szCs w:val="22"/>
              </w:rPr>
            </w:pPr>
            <w:r w:rsidRPr="00411E1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21298C" w:rsidRPr="00422414" w:rsidRDefault="0021298C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21298C" w:rsidRDefault="0021298C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РиМ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21298C" w:rsidRDefault="0021298C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Рыжкова </w:t>
            </w:r>
          </w:p>
          <w:p w:rsidR="0021298C" w:rsidRPr="00422414" w:rsidRDefault="0021298C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Станиславовна</w:t>
            </w:r>
          </w:p>
        </w:tc>
        <w:tc>
          <w:tcPr>
            <w:tcW w:w="2694" w:type="dxa"/>
          </w:tcPr>
          <w:p w:rsidR="0021298C" w:rsidRDefault="0021298C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04</w:t>
            </w:r>
            <w:r w:rsidRPr="00422414">
              <w:rPr>
                <w:sz w:val="22"/>
                <w:szCs w:val="22"/>
              </w:rPr>
              <w:t>, г. Тольятти,</w:t>
            </w:r>
          </w:p>
          <w:p w:rsidR="0021298C" w:rsidRPr="00422414" w:rsidRDefault="0021298C" w:rsidP="00E245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</w:t>
            </w:r>
            <w:r w:rsidRPr="004224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Ореховый</w:t>
            </w:r>
            <w:r w:rsidRPr="00422414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13.</w:t>
            </w:r>
          </w:p>
        </w:tc>
        <w:tc>
          <w:tcPr>
            <w:tcW w:w="851" w:type="dxa"/>
            <w:vAlign w:val="center"/>
          </w:tcPr>
          <w:p w:rsidR="0021298C" w:rsidRPr="009E6A88" w:rsidRDefault="0021298C" w:rsidP="0021298C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0,9583</w:t>
            </w:r>
          </w:p>
        </w:tc>
        <w:tc>
          <w:tcPr>
            <w:tcW w:w="992" w:type="dxa"/>
            <w:vAlign w:val="center"/>
          </w:tcPr>
          <w:p w:rsidR="0021298C" w:rsidRPr="009E6A88" w:rsidRDefault="0021298C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21298C" w:rsidRPr="009E6A88" w:rsidRDefault="0021298C" w:rsidP="0021298C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1" w:type="dxa"/>
            <w:vAlign w:val="center"/>
          </w:tcPr>
          <w:p w:rsidR="0021298C" w:rsidRPr="009E6A88" w:rsidRDefault="0021298C" w:rsidP="0021298C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0,1782</w:t>
            </w:r>
          </w:p>
        </w:tc>
        <w:tc>
          <w:tcPr>
            <w:tcW w:w="992" w:type="dxa"/>
            <w:vAlign w:val="center"/>
          </w:tcPr>
          <w:p w:rsidR="0021298C" w:rsidRPr="00026084" w:rsidRDefault="009E6A88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2,23651</w:t>
            </w:r>
          </w:p>
        </w:tc>
        <w:tc>
          <w:tcPr>
            <w:tcW w:w="3969" w:type="dxa"/>
            <w:vAlign w:val="center"/>
          </w:tcPr>
          <w:p w:rsidR="0021298C" w:rsidRPr="004E03AC" w:rsidRDefault="0021298C" w:rsidP="0021298C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4E03AC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четвертый</w:t>
            </w:r>
            <w:r w:rsidRPr="004E03AC">
              <w:rPr>
                <w:bCs/>
                <w:color w:val="000000"/>
                <w:sz w:val="20"/>
                <w:szCs w:val="20"/>
              </w:rPr>
              <w:t xml:space="preserve"> номер.</w:t>
            </w:r>
          </w:p>
        </w:tc>
      </w:tr>
      <w:tr w:rsidR="00C152AA" w:rsidTr="0021298C">
        <w:trPr>
          <w:trHeight w:val="564"/>
        </w:trPr>
        <w:tc>
          <w:tcPr>
            <w:tcW w:w="568" w:type="dxa"/>
            <w:vAlign w:val="center"/>
          </w:tcPr>
          <w:p w:rsidR="00C152AA" w:rsidRPr="00411E1B" w:rsidRDefault="00C152AA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C152AA" w:rsidRPr="00422414" w:rsidRDefault="00C152AA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C152AA" w:rsidRDefault="00C152AA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«Монолит»</w:t>
            </w:r>
          </w:p>
          <w:p w:rsidR="00C152AA" w:rsidRDefault="00C152AA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Сульдин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152AA" w:rsidRDefault="00C152AA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Леонидович</w:t>
            </w:r>
          </w:p>
        </w:tc>
        <w:tc>
          <w:tcPr>
            <w:tcW w:w="2694" w:type="dxa"/>
            <w:vAlign w:val="center"/>
          </w:tcPr>
          <w:p w:rsidR="00C152AA" w:rsidRDefault="00C152AA" w:rsidP="00E245C3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445024, Тольятти,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оскресенская</w:t>
            </w:r>
            <w:proofErr w:type="spellEnd"/>
            <w:r>
              <w:rPr>
                <w:sz w:val="22"/>
                <w:szCs w:val="22"/>
              </w:rPr>
              <w:t xml:space="preserve"> 11-501</w:t>
            </w:r>
          </w:p>
        </w:tc>
        <w:tc>
          <w:tcPr>
            <w:tcW w:w="851" w:type="dxa"/>
            <w:vAlign w:val="center"/>
          </w:tcPr>
          <w:p w:rsidR="00C152AA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0,8333</w:t>
            </w:r>
          </w:p>
        </w:tc>
        <w:tc>
          <w:tcPr>
            <w:tcW w:w="992" w:type="dxa"/>
            <w:vAlign w:val="center"/>
          </w:tcPr>
          <w:p w:rsidR="00C152AA" w:rsidRPr="009E6A88" w:rsidRDefault="00C152AA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850" w:type="dxa"/>
            <w:vAlign w:val="center"/>
          </w:tcPr>
          <w:p w:rsidR="00C152AA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0,2053</w:t>
            </w:r>
          </w:p>
        </w:tc>
        <w:tc>
          <w:tcPr>
            <w:tcW w:w="851" w:type="dxa"/>
            <w:vAlign w:val="center"/>
          </w:tcPr>
          <w:p w:rsidR="00C152AA" w:rsidRPr="009E6A88" w:rsidRDefault="009E6A88" w:rsidP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0,2506</w:t>
            </w:r>
          </w:p>
        </w:tc>
        <w:tc>
          <w:tcPr>
            <w:tcW w:w="992" w:type="dxa"/>
            <w:vAlign w:val="center"/>
          </w:tcPr>
          <w:p w:rsidR="00C152AA" w:rsidRPr="00026084" w:rsidRDefault="00C152AA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</w:t>
            </w:r>
            <w:r w:rsidR="009E6A88" w:rsidRPr="00026084">
              <w:rPr>
                <w:color w:val="000000"/>
                <w:sz w:val="22"/>
                <w:szCs w:val="22"/>
              </w:rPr>
              <w:t>16429</w:t>
            </w:r>
          </w:p>
        </w:tc>
        <w:tc>
          <w:tcPr>
            <w:tcW w:w="3969" w:type="dxa"/>
            <w:vAlign w:val="center"/>
          </w:tcPr>
          <w:p w:rsidR="00C152AA" w:rsidRPr="001C5921" w:rsidRDefault="00C152AA" w:rsidP="000C2F8A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>Присвоить заявке Участника четвертый номер</w:t>
            </w:r>
          </w:p>
        </w:tc>
      </w:tr>
      <w:tr w:rsidR="00C152AA" w:rsidTr="0021298C">
        <w:trPr>
          <w:trHeight w:val="547"/>
        </w:trPr>
        <w:tc>
          <w:tcPr>
            <w:tcW w:w="568" w:type="dxa"/>
            <w:vAlign w:val="center"/>
          </w:tcPr>
          <w:p w:rsidR="00C152AA" w:rsidRPr="00411E1B" w:rsidRDefault="00C152AA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C152AA" w:rsidRPr="00422414" w:rsidRDefault="00C152AA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C152AA" w:rsidRDefault="00C152AA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«Монолит»</w:t>
            </w:r>
          </w:p>
          <w:p w:rsidR="00C152AA" w:rsidRDefault="00C152AA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Сульдин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152AA" w:rsidRDefault="00C152AA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Леонидович</w:t>
            </w:r>
          </w:p>
        </w:tc>
        <w:tc>
          <w:tcPr>
            <w:tcW w:w="2694" w:type="dxa"/>
            <w:vAlign w:val="center"/>
          </w:tcPr>
          <w:p w:rsidR="00C152AA" w:rsidRDefault="00C152AA" w:rsidP="00E245C3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445024, Тольятти,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оскресенская</w:t>
            </w:r>
            <w:proofErr w:type="spellEnd"/>
            <w:r>
              <w:rPr>
                <w:sz w:val="22"/>
                <w:szCs w:val="22"/>
              </w:rPr>
              <w:t xml:space="preserve"> 11-501</w:t>
            </w:r>
          </w:p>
        </w:tc>
        <w:tc>
          <w:tcPr>
            <w:tcW w:w="851" w:type="dxa"/>
            <w:vAlign w:val="center"/>
          </w:tcPr>
          <w:p w:rsidR="00C152AA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0,8333</w:t>
            </w:r>
          </w:p>
        </w:tc>
        <w:tc>
          <w:tcPr>
            <w:tcW w:w="992" w:type="dxa"/>
            <w:vAlign w:val="center"/>
          </w:tcPr>
          <w:p w:rsidR="00C152AA" w:rsidRPr="009E6A88" w:rsidRDefault="00C152AA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850" w:type="dxa"/>
            <w:vAlign w:val="center"/>
          </w:tcPr>
          <w:p w:rsidR="00C152AA" w:rsidRPr="009E6A88" w:rsidRDefault="00C152AA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851" w:type="dxa"/>
            <w:vAlign w:val="center"/>
          </w:tcPr>
          <w:p w:rsidR="00C152AA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0,9445</w:t>
            </w:r>
          </w:p>
        </w:tc>
        <w:tc>
          <w:tcPr>
            <w:tcW w:w="992" w:type="dxa"/>
            <w:vAlign w:val="center"/>
          </w:tcPr>
          <w:p w:rsidR="00C152AA" w:rsidRPr="00026084" w:rsidRDefault="009E6A88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2,77788</w:t>
            </w:r>
          </w:p>
        </w:tc>
        <w:tc>
          <w:tcPr>
            <w:tcW w:w="3969" w:type="dxa"/>
            <w:vAlign w:val="center"/>
          </w:tcPr>
          <w:p w:rsidR="00C152AA" w:rsidRPr="001C5921" w:rsidRDefault="00C152AA" w:rsidP="00090E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второ</w:t>
            </w:r>
            <w:r w:rsidRPr="001C5921">
              <w:rPr>
                <w:bCs/>
                <w:color w:val="000000"/>
                <w:sz w:val="20"/>
                <w:szCs w:val="20"/>
              </w:rPr>
              <w:t>й номер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090E12" w:rsidRPr="00422414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090E12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ВКИ 24</w:t>
            </w:r>
            <w:r w:rsidRPr="00422414">
              <w:rPr>
                <w:sz w:val="22"/>
                <w:szCs w:val="22"/>
              </w:rPr>
              <w:t>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Цыгулев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90E12" w:rsidRPr="00422414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44</w:t>
            </w:r>
            <w:r w:rsidRPr="00422414">
              <w:rPr>
                <w:sz w:val="22"/>
                <w:szCs w:val="22"/>
              </w:rPr>
              <w:t xml:space="preserve">, г. Тольятти, </w:t>
            </w:r>
            <w:r>
              <w:rPr>
                <w:sz w:val="22"/>
                <w:szCs w:val="22"/>
              </w:rPr>
              <w:t>ул. Автостроителей 50-73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90E12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0,1607</w:t>
            </w:r>
          </w:p>
        </w:tc>
        <w:tc>
          <w:tcPr>
            <w:tcW w:w="851" w:type="dxa"/>
            <w:vAlign w:val="center"/>
          </w:tcPr>
          <w:p w:rsidR="00090E12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0,2294</w:t>
            </w:r>
          </w:p>
        </w:tc>
        <w:tc>
          <w:tcPr>
            <w:tcW w:w="992" w:type="dxa"/>
            <w:vAlign w:val="center"/>
          </w:tcPr>
          <w:p w:rsidR="00090E12" w:rsidRPr="00026084" w:rsidRDefault="00C152AA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</w:t>
            </w:r>
            <w:r w:rsidR="009E6A88" w:rsidRPr="00026084">
              <w:rPr>
                <w:color w:val="000000"/>
                <w:sz w:val="22"/>
                <w:szCs w:val="22"/>
              </w:rPr>
              <w:t>43185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второ</w:t>
            </w:r>
            <w:r w:rsidRPr="001C5921">
              <w:rPr>
                <w:bCs/>
                <w:color w:val="000000"/>
                <w:sz w:val="20"/>
                <w:szCs w:val="20"/>
              </w:rPr>
              <w:t>й номер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090E12" w:rsidRPr="00422414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90E12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ВКИ 24</w:t>
            </w:r>
            <w:r w:rsidRPr="00422414">
              <w:rPr>
                <w:sz w:val="22"/>
                <w:szCs w:val="22"/>
              </w:rPr>
              <w:t>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Цыгулев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90E12" w:rsidRPr="00422414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44</w:t>
            </w:r>
            <w:r w:rsidRPr="00422414">
              <w:rPr>
                <w:sz w:val="22"/>
                <w:szCs w:val="22"/>
              </w:rPr>
              <w:t xml:space="preserve">, г. Тольятти, </w:t>
            </w:r>
            <w:r>
              <w:rPr>
                <w:sz w:val="22"/>
                <w:szCs w:val="22"/>
              </w:rPr>
              <w:t>ул. Автостроителей 50-73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090E12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0,8636</w:t>
            </w:r>
          </w:p>
        </w:tc>
        <w:tc>
          <w:tcPr>
            <w:tcW w:w="992" w:type="dxa"/>
            <w:vAlign w:val="center"/>
          </w:tcPr>
          <w:p w:rsidR="00090E12" w:rsidRPr="00026084" w:rsidRDefault="009E6A88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2,90530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DE4186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>Присвоить заявке Участника первый номер.</w:t>
            </w:r>
          </w:p>
        </w:tc>
      </w:tr>
      <w:tr w:rsidR="00090E12" w:rsidTr="0021298C">
        <w:trPr>
          <w:trHeight w:val="557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090E12" w:rsidRPr="008E4994" w:rsidRDefault="00090E12" w:rsidP="00E245C3">
            <w:pPr>
              <w:jc w:val="center"/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090E12" w:rsidRPr="008E4994" w:rsidRDefault="00090E12" w:rsidP="00E245C3">
            <w:pPr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>ООО «УЦРБ»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 xml:space="preserve">Клочко </w:t>
            </w:r>
          </w:p>
          <w:p w:rsidR="00090E12" w:rsidRPr="008E4994" w:rsidRDefault="00090E12" w:rsidP="00E245C3">
            <w:pPr>
              <w:rPr>
                <w:sz w:val="22"/>
                <w:szCs w:val="22"/>
              </w:rPr>
            </w:pPr>
            <w:r w:rsidRPr="008E4994"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0,9166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0,95833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090E12" w:rsidRPr="00026084" w:rsidRDefault="00090E12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</w:t>
            </w:r>
            <w:r w:rsidR="009E6A88" w:rsidRPr="00026084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AC02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090E12" w:rsidTr="0021298C">
        <w:trPr>
          <w:trHeight w:val="551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090E12" w:rsidRPr="00422414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«УЦРБ»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Клочко </w:t>
            </w:r>
          </w:p>
          <w:p w:rsidR="00090E12" w:rsidRPr="00422414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0,9166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0,95833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0E12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0,2770</w:t>
            </w:r>
          </w:p>
        </w:tc>
        <w:tc>
          <w:tcPr>
            <w:tcW w:w="992" w:type="dxa"/>
            <w:vAlign w:val="center"/>
          </w:tcPr>
          <w:p w:rsidR="00090E12" w:rsidRPr="00026084" w:rsidRDefault="00090E12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</w:t>
            </w:r>
            <w:r w:rsidR="009E6A88" w:rsidRPr="00026084">
              <w:rPr>
                <w:color w:val="000000"/>
                <w:sz w:val="22"/>
                <w:szCs w:val="22"/>
              </w:rPr>
              <w:t>40206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AC02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090E12" w:rsidRPr="00422414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«УЦРБ»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Клочко </w:t>
            </w:r>
          </w:p>
          <w:p w:rsidR="00090E12" w:rsidRPr="00422414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Павлович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445051, г. Тольятти, </w:t>
            </w:r>
            <w:r>
              <w:rPr>
                <w:sz w:val="22"/>
                <w:szCs w:val="22"/>
              </w:rPr>
              <w:t xml:space="preserve">б-р Буденного 13-500 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0,9166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0,9583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0E12" w:rsidRPr="009E6A88" w:rsidRDefault="009E6A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0,2750</w:t>
            </w:r>
          </w:p>
        </w:tc>
        <w:tc>
          <w:tcPr>
            <w:tcW w:w="992" w:type="dxa"/>
            <w:vAlign w:val="center"/>
          </w:tcPr>
          <w:p w:rsidR="00090E12" w:rsidRPr="00026084" w:rsidRDefault="00090E12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</w:t>
            </w:r>
            <w:r w:rsidR="009E6A88" w:rsidRPr="0002608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090E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вто</w:t>
            </w:r>
            <w:r w:rsidRPr="001C5921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ой</w:t>
            </w:r>
            <w:r w:rsidRPr="001C5921">
              <w:rPr>
                <w:bCs/>
                <w:color w:val="000000"/>
                <w:sz w:val="20"/>
                <w:szCs w:val="20"/>
              </w:rPr>
              <w:t xml:space="preserve"> номер.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" w:type="dxa"/>
            <w:vAlign w:val="center"/>
          </w:tcPr>
          <w:p w:rsidR="00090E12" w:rsidRPr="00422414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«Развитие»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Пиксаев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Владислав Владимирович</w:t>
            </w:r>
          </w:p>
        </w:tc>
        <w:tc>
          <w:tcPr>
            <w:tcW w:w="2694" w:type="dxa"/>
            <w:vAlign w:val="center"/>
          </w:tcPr>
          <w:p w:rsidR="00090E12" w:rsidRDefault="00090E12" w:rsidP="00E245C3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445006, Тольятти, ул. </w:t>
            </w:r>
            <w:proofErr w:type="gramStart"/>
            <w:r>
              <w:rPr>
                <w:sz w:val="22"/>
                <w:szCs w:val="22"/>
              </w:rPr>
              <w:t>Революционная</w:t>
            </w:r>
            <w:proofErr w:type="gramEnd"/>
            <w:r>
              <w:rPr>
                <w:sz w:val="22"/>
                <w:szCs w:val="22"/>
              </w:rPr>
              <w:t xml:space="preserve"> 30-322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0,8333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90E12" w:rsidRPr="00026084" w:rsidRDefault="00090E12" w:rsidP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1,95833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C152AA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 w:rsidR="00C152AA">
              <w:rPr>
                <w:bCs/>
                <w:color w:val="000000"/>
                <w:sz w:val="20"/>
                <w:szCs w:val="20"/>
              </w:rPr>
              <w:t>пятый</w:t>
            </w:r>
            <w:r w:rsidRPr="001C5921">
              <w:rPr>
                <w:bCs/>
                <w:color w:val="000000"/>
                <w:sz w:val="20"/>
                <w:szCs w:val="20"/>
              </w:rPr>
              <w:t xml:space="preserve"> номер.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090E12" w:rsidRPr="00422414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«Развитие»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Пиксаев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90E12" w:rsidRDefault="00090E12" w:rsidP="00E24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Владислав Владимирович</w:t>
            </w:r>
          </w:p>
        </w:tc>
        <w:tc>
          <w:tcPr>
            <w:tcW w:w="2694" w:type="dxa"/>
            <w:vAlign w:val="center"/>
          </w:tcPr>
          <w:p w:rsidR="00090E12" w:rsidRDefault="00090E12" w:rsidP="00E245C3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445006, Тольятти, ул. </w:t>
            </w:r>
            <w:proofErr w:type="gramStart"/>
            <w:r>
              <w:rPr>
                <w:sz w:val="22"/>
                <w:szCs w:val="22"/>
              </w:rPr>
              <w:t>Революционная</w:t>
            </w:r>
            <w:proofErr w:type="gramEnd"/>
            <w:r>
              <w:rPr>
                <w:sz w:val="22"/>
                <w:szCs w:val="22"/>
              </w:rPr>
              <w:t xml:space="preserve"> 30-322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0,8333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90E12" w:rsidRPr="00026084" w:rsidRDefault="00090E12" w:rsidP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1,95833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090E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>Присвоить заявке Участника третий номер.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090E12" w:rsidRPr="00AE2AEE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90E12" w:rsidRPr="00AE2AEE" w:rsidRDefault="00090E12" w:rsidP="00E245C3">
            <w:pPr>
              <w:rPr>
                <w:sz w:val="22"/>
                <w:szCs w:val="22"/>
              </w:rPr>
            </w:pPr>
            <w:r w:rsidRPr="00AE2AEE">
              <w:rPr>
                <w:sz w:val="22"/>
                <w:szCs w:val="22"/>
              </w:rPr>
              <w:t>ООО «А-Лига»</w:t>
            </w:r>
          </w:p>
          <w:p w:rsidR="00090E12" w:rsidRPr="00AE2AEE" w:rsidRDefault="00090E12" w:rsidP="00E245C3">
            <w:pPr>
              <w:rPr>
                <w:sz w:val="22"/>
                <w:szCs w:val="22"/>
              </w:rPr>
            </w:pPr>
            <w:proofErr w:type="spellStart"/>
            <w:r w:rsidRPr="00AE2AEE">
              <w:rPr>
                <w:sz w:val="22"/>
                <w:szCs w:val="22"/>
              </w:rPr>
              <w:t>Шамеева</w:t>
            </w:r>
            <w:proofErr w:type="spellEnd"/>
            <w:r w:rsidRPr="00AE2AEE">
              <w:rPr>
                <w:sz w:val="22"/>
                <w:szCs w:val="22"/>
              </w:rPr>
              <w:t xml:space="preserve"> Анастасия Юрьевна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39</w:t>
            </w:r>
            <w:r w:rsidRPr="00422414">
              <w:rPr>
                <w:sz w:val="22"/>
                <w:szCs w:val="22"/>
              </w:rPr>
              <w:t xml:space="preserve">, г. Тольятти, </w:t>
            </w:r>
            <w:r>
              <w:rPr>
                <w:sz w:val="22"/>
                <w:szCs w:val="22"/>
              </w:rPr>
              <w:t>б-р ул. 40 Лет Победы 98-80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1,0833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1,0416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0,4687</w:t>
            </w:r>
          </w:p>
        </w:tc>
        <w:tc>
          <w:tcPr>
            <w:tcW w:w="992" w:type="dxa"/>
            <w:vAlign w:val="center"/>
          </w:tcPr>
          <w:p w:rsidR="00090E12" w:rsidRPr="00026084" w:rsidRDefault="009E6A88" w:rsidP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2,60227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090E12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пе</w:t>
            </w:r>
            <w:r w:rsidRPr="001C5921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вый</w:t>
            </w:r>
            <w:r w:rsidRPr="001C5921">
              <w:rPr>
                <w:bCs/>
                <w:color w:val="000000"/>
                <w:sz w:val="20"/>
                <w:szCs w:val="20"/>
              </w:rPr>
              <w:t xml:space="preserve"> номер.</w:t>
            </w:r>
          </w:p>
        </w:tc>
      </w:tr>
      <w:tr w:rsidR="00090E12" w:rsidTr="0021298C">
        <w:trPr>
          <w:trHeight w:val="715"/>
        </w:trPr>
        <w:tc>
          <w:tcPr>
            <w:tcW w:w="568" w:type="dxa"/>
            <w:vAlign w:val="center"/>
          </w:tcPr>
          <w:p w:rsidR="00090E12" w:rsidRPr="00411E1B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090E12" w:rsidRPr="00AE2AEE" w:rsidRDefault="00090E12" w:rsidP="00E24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090E12" w:rsidRPr="00AE2AEE" w:rsidRDefault="00090E12" w:rsidP="00E245C3">
            <w:pPr>
              <w:rPr>
                <w:sz w:val="22"/>
                <w:szCs w:val="22"/>
              </w:rPr>
            </w:pPr>
            <w:r w:rsidRPr="00AE2AEE">
              <w:rPr>
                <w:sz w:val="22"/>
                <w:szCs w:val="22"/>
              </w:rPr>
              <w:t>ООО «А-Лига»</w:t>
            </w:r>
          </w:p>
          <w:p w:rsidR="00090E12" w:rsidRPr="00AE2AEE" w:rsidRDefault="00090E12" w:rsidP="00E245C3">
            <w:pPr>
              <w:rPr>
                <w:sz w:val="22"/>
                <w:szCs w:val="22"/>
              </w:rPr>
            </w:pPr>
            <w:proofErr w:type="spellStart"/>
            <w:r w:rsidRPr="00AE2AEE">
              <w:rPr>
                <w:sz w:val="22"/>
                <w:szCs w:val="22"/>
              </w:rPr>
              <w:t>Шамеева</w:t>
            </w:r>
            <w:proofErr w:type="spellEnd"/>
            <w:r w:rsidRPr="00AE2AEE">
              <w:rPr>
                <w:sz w:val="22"/>
                <w:szCs w:val="22"/>
              </w:rPr>
              <w:t xml:space="preserve"> Анастасия Юрьевна</w:t>
            </w:r>
          </w:p>
        </w:tc>
        <w:tc>
          <w:tcPr>
            <w:tcW w:w="2694" w:type="dxa"/>
          </w:tcPr>
          <w:p w:rsidR="00090E12" w:rsidRPr="00422414" w:rsidRDefault="00090E12" w:rsidP="00E245C3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</w:t>
            </w:r>
            <w:r>
              <w:rPr>
                <w:sz w:val="22"/>
                <w:szCs w:val="22"/>
              </w:rPr>
              <w:t>39</w:t>
            </w:r>
            <w:r w:rsidRPr="00422414">
              <w:rPr>
                <w:sz w:val="22"/>
                <w:szCs w:val="22"/>
              </w:rPr>
              <w:t xml:space="preserve">, г. Тольятти, </w:t>
            </w:r>
            <w:r>
              <w:rPr>
                <w:sz w:val="22"/>
                <w:szCs w:val="22"/>
              </w:rPr>
              <w:t>б-р ул. 40 Лет Победы 98-80</w:t>
            </w:r>
          </w:p>
        </w:tc>
        <w:tc>
          <w:tcPr>
            <w:tcW w:w="851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1,0833</w:t>
            </w:r>
          </w:p>
        </w:tc>
        <w:tc>
          <w:tcPr>
            <w:tcW w:w="992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1,0416</w:t>
            </w:r>
          </w:p>
        </w:tc>
        <w:tc>
          <w:tcPr>
            <w:tcW w:w="850" w:type="dxa"/>
            <w:vAlign w:val="center"/>
          </w:tcPr>
          <w:p w:rsidR="00090E12" w:rsidRPr="009E6A88" w:rsidRDefault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090E12" w:rsidRPr="009E6A88" w:rsidRDefault="00090E12" w:rsidP="00090E12">
            <w:pPr>
              <w:jc w:val="center"/>
              <w:rPr>
                <w:color w:val="000000"/>
                <w:sz w:val="22"/>
                <w:szCs w:val="22"/>
              </w:rPr>
            </w:pPr>
            <w:r w:rsidRPr="009E6A88">
              <w:rPr>
                <w:color w:val="000000"/>
                <w:sz w:val="22"/>
                <w:szCs w:val="22"/>
              </w:rPr>
              <w:t>0,4773</w:t>
            </w:r>
          </w:p>
        </w:tc>
        <w:tc>
          <w:tcPr>
            <w:tcW w:w="992" w:type="dxa"/>
            <w:vAlign w:val="center"/>
          </w:tcPr>
          <w:p w:rsidR="00090E12" w:rsidRPr="00026084" w:rsidRDefault="009E6A88" w:rsidP="009E6A88">
            <w:pPr>
              <w:jc w:val="center"/>
              <w:rPr>
                <w:color w:val="000000"/>
                <w:sz w:val="22"/>
                <w:szCs w:val="22"/>
              </w:rPr>
            </w:pPr>
            <w:r w:rsidRPr="00026084">
              <w:rPr>
                <w:color w:val="000000"/>
                <w:sz w:val="22"/>
                <w:szCs w:val="22"/>
              </w:rPr>
              <w:t>2,59375</w:t>
            </w:r>
          </w:p>
        </w:tc>
        <w:tc>
          <w:tcPr>
            <w:tcW w:w="3969" w:type="dxa"/>
            <w:vAlign w:val="center"/>
          </w:tcPr>
          <w:p w:rsidR="00090E12" w:rsidRPr="001C5921" w:rsidRDefault="00090E12" w:rsidP="00661C94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1C5921">
              <w:rPr>
                <w:bCs/>
                <w:color w:val="000000"/>
                <w:sz w:val="20"/>
                <w:szCs w:val="20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0"/>
                <w:szCs w:val="20"/>
              </w:rPr>
              <w:t>пе</w:t>
            </w:r>
            <w:r w:rsidRPr="001C5921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вый</w:t>
            </w:r>
            <w:r w:rsidRPr="001C5921">
              <w:rPr>
                <w:bCs/>
                <w:color w:val="000000"/>
                <w:sz w:val="20"/>
                <w:szCs w:val="20"/>
              </w:rPr>
              <w:t xml:space="preserve"> номер.</w:t>
            </w:r>
          </w:p>
        </w:tc>
      </w:tr>
    </w:tbl>
    <w:p w:rsidR="0065190D" w:rsidRDefault="0065190D" w:rsidP="00955C57">
      <w:pPr>
        <w:pStyle w:val="a3"/>
        <w:spacing w:before="0" w:after="0"/>
        <w:ind w:left="0"/>
        <w:jc w:val="both"/>
        <w:rPr>
          <w:b/>
          <w:color w:val="000000"/>
        </w:rPr>
      </w:pPr>
    </w:p>
    <w:p w:rsidR="006E10EE" w:rsidRDefault="006E10EE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8A3A44" w:rsidRDefault="00D865AC" w:rsidP="008A3A44">
      <w:pPr>
        <w:pStyle w:val="a3"/>
        <w:spacing w:before="0" w:after="0"/>
        <w:ind w:left="0" w:right="-173"/>
        <w:rPr>
          <w:b/>
          <w:color w:val="000000"/>
        </w:rPr>
      </w:pPr>
      <w:r>
        <w:rPr>
          <w:b/>
          <w:color w:val="000000"/>
        </w:rPr>
        <w:t>Решение комиссии:</w:t>
      </w:r>
    </w:p>
    <w:p w:rsidR="0021298C" w:rsidRDefault="0021298C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100645" w:rsidRPr="00026084" w:rsidRDefault="008A6B4E" w:rsidP="00026084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26084">
        <w:rPr>
          <w:rFonts w:ascii="Times New Roman" w:hAnsi="Times New Roman"/>
          <w:sz w:val="24"/>
          <w:szCs w:val="24"/>
        </w:rPr>
        <w:t>По итогам оценки и сопоставления заявок на участие в конкурсе по</w:t>
      </w:r>
      <w:r w:rsidR="00AC0212" w:rsidRPr="00026084">
        <w:rPr>
          <w:rFonts w:ascii="Times New Roman" w:hAnsi="Times New Roman"/>
          <w:sz w:val="24"/>
          <w:szCs w:val="24"/>
        </w:rPr>
        <w:t xml:space="preserve"> Л</w:t>
      </w:r>
      <w:r w:rsidRPr="00026084">
        <w:rPr>
          <w:rFonts w:ascii="Times New Roman" w:hAnsi="Times New Roman"/>
          <w:sz w:val="24"/>
          <w:szCs w:val="24"/>
        </w:rPr>
        <w:t>оту</w:t>
      </w:r>
      <w:r w:rsidR="00100645" w:rsidRPr="00026084">
        <w:rPr>
          <w:rFonts w:ascii="Times New Roman" w:hAnsi="Times New Roman"/>
          <w:sz w:val="24"/>
          <w:szCs w:val="24"/>
        </w:rPr>
        <w:t xml:space="preserve"> </w:t>
      </w:r>
      <w:r w:rsidRPr="00026084">
        <w:rPr>
          <w:rFonts w:ascii="Times New Roman" w:hAnsi="Times New Roman"/>
          <w:sz w:val="24"/>
          <w:szCs w:val="24"/>
        </w:rPr>
        <w:t>№</w:t>
      </w:r>
      <w:r w:rsidR="00CA5815" w:rsidRPr="00026084">
        <w:rPr>
          <w:rFonts w:ascii="Times New Roman" w:hAnsi="Times New Roman"/>
          <w:sz w:val="24"/>
          <w:szCs w:val="24"/>
        </w:rPr>
        <w:t>1</w:t>
      </w:r>
      <w:r w:rsidRPr="00026084">
        <w:rPr>
          <w:rFonts w:ascii="Times New Roman" w:hAnsi="Times New Roman"/>
          <w:sz w:val="24"/>
          <w:szCs w:val="24"/>
        </w:rPr>
        <w:t>, заявке Участник</w:t>
      </w:r>
      <w:proofErr w:type="gramStart"/>
      <w:r w:rsidRPr="00026084">
        <w:rPr>
          <w:rFonts w:ascii="Times New Roman" w:hAnsi="Times New Roman"/>
          <w:sz w:val="24"/>
          <w:szCs w:val="24"/>
        </w:rPr>
        <w:t xml:space="preserve">а </w:t>
      </w:r>
      <w:r w:rsidR="00026084" w:rsidRPr="00026084">
        <w:rPr>
          <w:rFonts w:ascii="Times New Roman" w:hAnsi="Times New Roman"/>
          <w:sz w:val="24"/>
          <w:szCs w:val="24"/>
        </w:rPr>
        <w:t>ООО</w:t>
      </w:r>
      <w:proofErr w:type="gramEnd"/>
      <w:r w:rsidR="00026084" w:rsidRPr="00026084">
        <w:rPr>
          <w:rFonts w:ascii="Times New Roman" w:hAnsi="Times New Roman"/>
          <w:sz w:val="24"/>
          <w:szCs w:val="24"/>
        </w:rPr>
        <w:t xml:space="preserve"> «А-Лига»</w:t>
      </w:r>
      <w:r w:rsidR="00026084" w:rsidRPr="00026084">
        <w:rPr>
          <w:rFonts w:ascii="Times New Roman" w:hAnsi="Times New Roman"/>
          <w:sz w:val="24"/>
          <w:szCs w:val="24"/>
        </w:rPr>
        <w:t xml:space="preserve"> </w:t>
      </w:r>
      <w:r w:rsidRPr="00026084">
        <w:rPr>
          <w:rFonts w:ascii="Times New Roman" w:hAnsi="Times New Roman"/>
          <w:sz w:val="24"/>
          <w:szCs w:val="24"/>
        </w:rPr>
        <w:t>присвоен первый  номер,  заявке Участника</w:t>
      </w:r>
      <w:r w:rsidR="003C6233" w:rsidRPr="00026084">
        <w:rPr>
          <w:rFonts w:ascii="Times New Roman" w:hAnsi="Times New Roman"/>
          <w:sz w:val="24"/>
          <w:szCs w:val="24"/>
        </w:rPr>
        <w:t xml:space="preserve"> </w:t>
      </w:r>
      <w:r w:rsidR="00026084" w:rsidRPr="00026084">
        <w:rPr>
          <w:rFonts w:ascii="Times New Roman" w:hAnsi="Times New Roman"/>
          <w:sz w:val="24"/>
          <w:szCs w:val="24"/>
        </w:rPr>
        <w:t>ООО «ВКИ 24»</w:t>
      </w:r>
      <w:r w:rsidR="00026084" w:rsidRPr="00026084">
        <w:rPr>
          <w:rFonts w:ascii="Times New Roman" w:hAnsi="Times New Roman"/>
          <w:sz w:val="24"/>
          <w:szCs w:val="24"/>
        </w:rPr>
        <w:t xml:space="preserve"> </w:t>
      </w:r>
      <w:r w:rsidRPr="00026084">
        <w:rPr>
          <w:rFonts w:ascii="Times New Roman" w:hAnsi="Times New Roman"/>
          <w:sz w:val="24"/>
          <w:szCs w:val="24"/>
        </w:rPr>
        <w:t>присвоен второй номер</w:t>
      </w:r>
      <w:r w:rsidR="00DE4186" w:rsidRPr="00026084">
        <w:rPr>
          <w:rFonts w:ascii="Times New Roman" w:hAnsi="Times New Roman"/>
          <w:sz w:val="24"/>
          <w:szCs w:val="24"/>
        </w:rPr>
        <w:t xml:space="preserve">, заявке Участника </w:t>
      </w:r>
      <w:r w:rsidR="00026084" w:rsidRPr="00026084">
        <w:rPr>
          <w:rFonts w:ascii="Times New Roman" w:hAnsi="Times New Roman"/>
          <w:sz w:val="24"/>
          <w:szCs w:val="24"/>
        </w:rPr>
        <w:t xml:space="preserve">ООО «УЦРБ» </w:t>
      </w:r>
      <w:r w:rsidR="00791D0B" w:rsidRPr="00026084">
        <w:rPr>
          <w:rFonts w:ascii="Times New Roman" w:hAnsi="Times New Roman"/>
          <w:sz w:val="24"/>
          <w:szCs w:val="24"/>
        </w:rPr>
        <w:t>присвоен третий номер</w:t>
      </w:r>
      <w:r w:rsidR="00026084" w:rsidRPr="00026084">
        <w:rPr>
          <w:rFonts w:ascii="Times New Roman" w:hAnsi="Times New Roman"/>
          <w:sz w:val="24"/>
          <w:szCs w:val="24"/>
        </w:rPr>
        <w:t xml:space="preserve">, </w:t>
      </w:r>
      <w:r w:rsidR="00026084" w:rsidRPr="00026084">
        <w:rPr>
          <w:rFonts w:ascii="Times New Roman" w:hAnsi="Times New Roman"/>
          <w:sz w:val="24"/>
          <w:szCs w:val="24"/>
        </w:rPr>
        <w:t>заявке Участника</w:t>
      </w:r>
      <w:r w:rsidR="00026084" w:rsidRPr="00026084">
        <w:rPr>
          <w:rFonts w:ascii="Times New Roman" w:hAnsi="Times New Roman"/>
          <w:sz w:val="24"/>
          <w:szCs w:val="24"/>
        </w:rPr>
        <w:t xml:space="preserve"> </w:t>
      </w:r>
      <w:r w:rsidR="00026084" w:rsidRPr="00026084">
        <w:rPr>
          <w:rFonts w:ascii="Times New Roman" w:hAnsi="Times New Roman"/>
          <w:sz w:val="24"/>
          <w:szCs w:val="24"/>
        </w:rPr>
        <w:t>ООО «Монолит»</w:t>
      </w:r>
      <w:r w:rsidR="00026084" w:rsidRPr="00026084">
        <w:rPr>
          <w:rFonts w:ascii="Times New Roman" w:hAnsi="Times New Roman"/>
          <w:sz w:val="24"/>
          <w:szCs w:val="24"/>
        </w:rPr>
        <w:t xml:space="preserve">  </w:t>
      </w:r>
      <w:r w:rsidR="00026084" w:rsidRPr="00026084">
        <w:rPr>
          <w:rFonts w:ascii="Times New Roman" w:hAnsi="Times New Roman"/>
          <w:sz w:val="24"/>
          <w:szCs w:val="24"/>
        </w:rPr>
        <w:t xml:space="preserve">присвоен </w:t>
      </w:r>
      <w:r w:rsidR="00026084" w:rsidRPr="00026084">
        <w:rPr>
          <w:rFonts w:ascii="Times New Roman" w:hAnsi="Times New Roman"/>
          <w:sz w:val="24"/>
          <w:szCs w:val="24"/>
        </w:rPr>
        <w:t>четверты</w:t>
      </w:r>
      <w:r w:rsidR="00026084" w:rsidRPr="00026084">
        <w:rPr>
          <w:rFonts w:ascii="Times New Roman" w:hAnsi="Times New Roman"/>
          <w:sz w:val="24"/>
          <w:szCs w:val="24"/>
        </w:rPr>
        <w:t>й номер</w:t>
      </w:r>
      <w:r w:rsidR="00791D0B" w:rsidRPr="00026084">
        <w:rPr>
          <w:rFonts w:ascii="Times New Roman" w:hAnsi="Times New Roman"/>
          <w:sz w:val="24"/>
          <w:szCs w:val="24"/>
        </w:rPr>
        <w:t>.</w:t>
      </w:r>
    </w:p>
    <w:p w:rsidR="00DE4186" w:rsidRPr="00661C94" w:rsidRDefault="00100645" w:rsidP="00CA5815">
      <w:r w:rsidRPr="00661C94">
        <w:rPr>
          <w:color w:val="000000"/>
        </w:rPr>
        <w:t xml:space="preserve"> </w:t>
      </w:r>
      <w:r w:rsidR="002742B5" w:rsidRPr="00661C94">
        <w:rPr>
          <w:color w:val="000000"/>
        </w:rPr>
        <w:t xml:space="preserve"> </w:t>
      </w:r>
      <w:r w:rsidR="008A6B4E" w:rsidRPr="00661C94">
        <w:rPr>
          <w:color w:val="000000"/>
        </w:rPr>
        <w:t xml:space="preserve">Победителем конкурса в отношении Лота  № </w:t>
      </w:r>
      <w:r w:rsidR="00CA5815" w:rsidRPr="00661C94">
        <w:rPr>
          <w:color w:val="000000"/>
        </w:rPr>
        <w:t>1</w:t>
      </w:r>
      <w:r w:rsidR="008A6B4E" w:rsidRPr="00661C94">
        <w:rPr>
          <w:color w:val="000000"/>
        </w:rPr>
        <w:t xml:space="preserve"> признан</w:t>
      </w:r>
      <w:proofErr w:type="gramStart"/>
      <w:r w:rsidR="00026084">
        <w:rPr>
          <w:color w:val="000000"/>
        </w:rPr>
        <w:t xml:space="preserve">о </w:t>
      </w:r>
      <w:r w:rsidR="00026084" w:rsidRPr="00026084">
        <w:rPr>
          <w:sz w:val="22"/>
          <w:szCs w:val="22"/>
        </w:rPr>
        <w:t>ООО</w:t>
      </w:r>
      <w:proofErr w:type="gramEnd"/>
      <w:r w:rsidR="00026084" w:rsidRPr="00026084">
        <w:rPr>
          <w:sz w:val="22"/>
          <w:szCs w:val="22"/>
        </w:rPr>
        <w:t xml:space="preserve"> «А-Лига»</w:t>
      </w:r>
      <w:r w:rsidR="00791D0B" w:rsidRPr="00661C94">
        <w:t>.</w:t>
      </w:r>
    </w:p>
    <w:p w:rsidR="00DE4186" w:rsidRPr="00661C94" w:rsidRDefault="00DE4186" w:rsidP="00CA5815"/>
    <w:p w:rsidR="00026084" w:rsidRPr="00026084" w:rsidRDefault="00DE4186" w:rsidP="00026084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26084">
        <w:rPr>
          <w:rFonts w:ascii="Times New Roman" w:hAnsi="Times New Roman"/>
          <w:sz w:val="24"/>
          <w:szCs w:val="24"/>
        </w:rPr>
        <w:t xml:space="preserve">По итогам оценки и сопоставления заявок на участие в конкурсе по </w:t>
      </w:r>
      <w:r w:rsidR="00AC0212" w:rsidRPr="00026084">
        <w:rPr>
          <w:rFonts w:ascii="Times New Roman" w:hAnsi="Times New Roman"/>
          <w:sz w:val="24"/>
          <w:szCs w:val="24"/>
        </w:rPr>
        <w:t>Л</w:t>
      </w:r>
      <w:r w:rsidRPr="00026084">
        <w:rPr>
          <w:rFonts w:ascii="Times New Roman" w:hAnsi="Times New Roman"/>
          <w:sz w:val="24"/>
          <w:szCs w:val="24"/>
        </w:rPr>
        <w:t>оту №</w:t>
      </w:r>
      <w:r w:rsidR="00A60E20" w:rsidRPr="00026084">
        <w:rPr>
          <w:rFonts w:ascii="Times New Roman" w:hAnsi="Times New Roman"/>
          <w:sz w:val="24"/>
          <w:szCs w:val="24"/>
        </w:rPr>
        <w:t>2</w:t>
      </w:r>
      <w:r w:rsidRPr="00026084">
        <w:rPr>
          <w:rFonts w:ascii="Times New Roman" w:hAnsi="Times New Roman"/>
          <w:sz w:val="24"/>
          <w:szCs w:val="24"/>
        </w:rPr>
        <w:t>, заявке Участник</w:t>
      </w:r>
      <w:proofErr w:type="gramStart"/>
      <w:r w:rsidRPr="00026084">
        <w:rPr>
          <w:rFonts w:ascii="Times New Roman" w:hAnsi="Times New Roman"/>
          <w:sz w:val="24"/>
          <w:szCs w:val="24"/>
        </w:rPr>
        <w:t xml:space="preserve">а </w:t>
      </w:r>
      <w:r w:rsidR="00026084" w:rsidRPr="00026084">
        <w:rPr>
          <w:rFonts w:ascii="Times New Roman" w:hAnsi="Times New Roman"/>
          <w:sz w:val="24"/>
          <w:szCs w:val="24"/>
        </w:rPr>
        <w:t>ООО</w:t>
      </w:r>
      <w:proofErr w:type="gramEnd"/>
      <w:r w:rsidR="00026084" w:rsidRPr="00026084">
        <w:rPr>
          <w:rFonts w:ascii="Times New Roman" w:hAnsi="Times New Roman"/>
          <w:sz w:val="24"/>
          <w:szCs w:val="24"/>
        </w:rPr>
        <w:t xml:space="preserve"> «ВКИ 24» </w:t>
      </w:r>
      <w:r w:rsidRPr="00026084">
        <w:rPr>
          <w:rFonts w:ascii="Times New Roman" w:hAnsi="Times New Roman"/>
          <w:sz w:val="24"/>
          <w:szCs w:val="24"/>
        </w:rPr>
        <w:t xml:space="preserve">присвоен первый  номер,  заявке Участника </w:t>
      </w:r>
      <w:r w:rsidR="00026084" w:rsidRPr="00026084">
        <w:rPr>
          <w:rFonts w:ascii="Times New Roman" w:hAnsi="Times New Roman"/>
          <w:sz w:val="24"/>
          <w:szCs w:val="24"/>
        </w:rPr>
        <w:t>ООО «Монолит»</w:t>
      </w:r>
      <w:r w:rsidR="00A60E20" w:rsidRPr="00026084">
        <w:rPr>
          <w:rFonts w:ascii="Times New Roman" w:hAnsi="Times New Roman"/>
          <w:sz w:val="24"/>
          <w:szCs w:val="24"/>
        </w:rPr>
        <w:t xml:space="preserve"> </w:t>
      </w:r>
      <w:r w:rsidRPr="00026084">
        <w:rPr>
          <w:rFonts w:ascii="Times New Roman" w:hAnsi="Times New Roman"/>
          <w:sz w:val="24"/>
          <w:szCs w:val="24"/>
        </w:rPr>
        <w:t>присвоен второй номер</w:t>
      </w:r>
      <w:r w:rsidR="00026084" w:rsidRPr="00026084">
        <w:rPr>
          <w:rFonts w:ascii="Times New Roman" w:hAnsi="Times New Roman"/>
          <w:sz w:val="24"/>
          <w:szCs w:val="24"/>
        </w:rPr>
        <w:t xml:space="preserve">, </w:t>
      </w:r>
      <w:r w:rsidR="00026084" w:rsidRPr="00026084">
        <w:rPr>
          <w:rFonts w:ascii="Times New Roman" w:hAnsi="Times New Roman"/>
          <w:sz w:val="24"/>
          <w:szCs w:val="24"/>
        </w:rPr>
        <w:t>заявке Участника ООО «УЦРБ» присвоен третий номер, заявке Участника ООО «</w:t>
      </w:r>
      <w:proofErr w:type="spellStart"/>
      <w:r w:rsidR="00026084" w:rsidRPr="00026084">
        <w:rPr>
          <w:rFonts w:ascii="Times New Roman" w:hAnsi="Times New Roman"/>
          <w:sz w:val="24"/>
          <w:szCs w:val="24"/>
        </w:rPr>
        <w:t>РиМ</w:t>
      </w:r>
      <w:proofErr w:type="spellEnd"/>
      <w:r w:rsidR="00026084" w:rsidRPr="00026084">
        <w:rPr>
          <w:rFonts w:ascii="Times New Roman" w:hAnsi="Times New Roman"/>
          <w:sz w:val="24"/>
          <w:szCs w:val="24"/>
        </w:rPr>
        <w:t>»  присвоен четвертый номер</w:t>
      </w:r>
      <w:r w:rsidR="00026084" w:rsidRPr="00026084">
        <w:rPr>
          <w:rFonts w:ascii="Times New Roman" w:hAnsi="Times New Roman"/>
          <w:sz w:val="24"/>
          <w:szCs w:val="24"/>
        </w:rPr>
        <w:t xml:space="preserve">, </w:t>
      </w:r>
      <w:r w:rsidR="00026084" w:rsidRPr="00026084">
        <w:rPr>
          <w:rFonts w:ascii="Times New Roman" w:hAnsi="Times New Roman"/>
          <w:sz w:val="24"/>
          <w:szCs w:val="24"/>
        </w:rPr>
        <w:t>заявке Участника ООО «Р</w:t>
      </w:r>
      <w:r w:rsidR="00026084" w:rsidRPr="00026084">
        <w:rPr>
          <w:rFonts w:ascii="Times New Roman" w:hAnsi="Times New Roman"/>
          <w:sz w:val="24"/>
          <w:szCs w:val="24"/>
        </w:rPr>
        <w:t>азвитие</w:t>
      </w:r>
      <w:r w:rsidR="00026084" w:rsidRPr="00026084">
        <w:rPr>
          <w:rFonts w:ascii="Times New Roman" w:hAnsi="Times New Roman"/>
          <w:sz w:val="24"/>
          <w:szCs w:val="24"/>
        </w:rPr>
        <w:t xml:space="preserve">» присвоен </w:t>
      </w:r>
      <w:r w:rsidR="00026084" w:rsidRPr="00026084">
        <w:rPr>
          <w:rFonts w:ascii="Times New Roman" w:hAnsi="Times New Roman"/>
          <w:sz w:val="24"/>
          <w:szCs w:val="24"/>
        </w:rPr>
        <w:t>пяты</w:t>
      </w:r>
      <w:r w:rsidR="00026084" w:rsidRPr="00026084">
        <w:rPr>
          <w:rFonts w:ascii="Times New Roman" w:hAnsi="Times New Roman"/>
          <w:sz w:val="24"/>
          <w:szCs w:val="24"/>
        </w:rPr>
        <w:t>й номер.</w:t>
      </w:r>
    </w:p>
    <w:p w:rsidR="00026084" w:rsidRDefault="00026084" w:rsidP="0021298C">
      <w:pPr>
        <w:pStyle w:val="a7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186" w:rsidRPr="00661C94" w:rsidRDefault="00DE4186" w:rsidP="0021298C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661C94">
        <w:rPr>
          <w:rFonts w:ascii="Times New Roman" w:hAnsi="Times New Roman"/>
          <w:color w:val="000000"/>
          <w:sz w:val="24"/>
          <w:szCs w:val="24"/>
        </w:rPr>
        <w:t xml:space="preserve">Победителем конкурса в отношении Лота  № </w:t>
      </w:r>
      <w:r w:rsidR="00A60E20" w:rsidRPr="00661C94">
        <w:rPr>
          <w:rFonts w:ascii="Times New Roman" w:hAnsi="Times New Roman"/>
          <w:color w:val="000000"/>
          <w:sz w:val="24"/>
          <w:szCs w:val="24"/>
        </w:rPr>
        <w:t>2</w:t>
      </w:r>
      <w:r w:rsidRPr="00661C94">
        <w:rPr>
          <w:rFonts w:ascii="Times New Roman" w:hAnsi="Times New Roman"/>
          <w:color w:val="000000"/>
          <w:sz w:val="24"/>
          <w:szCs w:val="24"/>
        </w:rPr>
        <w:t xml:space="preserve"> признан</w:t>
      </w:r>
      <w:proofErr w:type="gramStart"/>
      <w:r w:rsidR="0002608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026084" w:rsidRPr="00026084">
        <w:rPr>
          <w:rFonts w:ascii="Times New Roman" w:hAnsi="Times New Roman"/>
          <w:sz w:val="24"/>
          <w:szCs w:val="24"/>
        </w:rPr>
        <w:t>ООО</w:t>
      </w:r>
      <w:proofErr w:type="gramEnd"/>
      <w:r w:rsidR="00026084" w:rsidRPr="00026084">
        <w:rPr>
          <w:rFonts w:ascii="Times New Roman" w:hAnsi="Times New Roman"/>
          <w:sz w:val="24"/>
          <w:szCs w:val="24"/>
        </w:rPr>
        <w:t xml:space="preserve"> «ВКИ 24»</w:t>
      </w:r>
      <w:r w:rsidR="00791D0B" w:rsidRPr="00661C94">
        <w:rPr>
          <w:rFonts w:ascii="Times New Roman" w:hAnsi="Times New Roman"/>
          <w:sz w:val="24"/>
          <w:szCs w:val="24"/>
        </w:rPr>
        <w:t>.</w:t>
      </w:r>
    </w:p>
    <w:p w:rsidR="00791D0B" w:rsidRPr="00661C94" w:rsidRDefault="00791D0B" w:rsidP="00791D0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91D0B" w:rsidRPr="00661C94" w:rsidRDefault="00791D0B" w:rsidP="00026084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61C94">
        <w:rPr>
          <w:rFonts w:ascii="Times New Roman" w:hAnsi="Times New Roman"/>
          <w:sz w:val="24"/>
          <w:szCs w:val="24"/>
        </w:rPr>
        <w:t xml:space="preserve">По итогам оценки и сопоставления заявок на участие в конкурсе по </w:t>
      </w:r>
      <w:r w:rsidR="00AC0212">
        <w:rPr>
          <w:rFonts w:ascii="Times New Roman" w:hAnsi="Times New Roman"/>
          <w:sz w:val="24"/>
          <w:szCs w:val="24"/>
        </w:rPr>
        <w:t>Л</w:t>
      </w:r>
      <w:r w:rsidR="00026084">
        <w:rPr>
          <w:rFonts w:ascii="Times New Roman" w:hAnsi="Times New Roman"/>
          <w:sz w:val="24"/>
          <w:szCs w:val="24"/>
        </w:rPr>
        <w:t>оту №3, заявке Участник</w:t>
      </w:r>
      <w:proofErr w:type="gramStart"/>
      <w:r w:rsidR="00026084">
        <w:rPr>
          <w:rFonts w:ascii="Times New Roman" w:hAnsi="Times New Roman"/>
          <w:sz w:val="24"/>
          <w:szCs w:val="24"/>
        </w:rPr>
        <w:t xml:space="preserve">а </w:t>
      </w:r>
      <w:r w:rsidR="00026084" w:rsidRPr="00026084">
        <w:rPr>
          <w:rFonts w:ascii="Times New Roman" w:hAnsi="Times New Roman"/>
          <w:sz w:val="24"/>
          <w:szCs w:val="24"/>
        </w:rPr>
        <w:t>ООО</w:t>
      </w:r>
      <w:proofErr w:type="gramEnd"/>
      <w:r w:rsidR="00026084" w:rsidRPr="00026084">
        <w:rPr>
          <w:rFonts w:ascii="Times New Roman" w:hAnsi="Times New Roman"/>
          <w:sz w:val="24"/>
          <w:szCs w:val="24"/>
        </w:rPr>
        <w:t xml:space="preserve"> «А-Лига»</w:t>
      </w:r>
      <w:r w:rsidRPr="00661C94">
        <w:rPr>
          <w:rFonts w:ascii="Times New Roman" w:hAnsi="Times New Roman"/>
          <w:sz w:val="24"/>
          <w:szCs w:val="24"/>
        </w:rPr>
        <w:t xml:space="preserve"> присвоен первый  номер,  заявке Участника ООО «УЦРБ» присвоен второй номер</w:t>
      </w:r>
      <w:r w:rsidR="00026084">
        <w:rPr>
          <w:rFonts w:ascii="Times New Roman" w:hAnsi="Times New Roman"/>
          <w:sz w:val="24"/>
          <w:szCs w:val="24"/>
        </w:rPr>
        <w:t xml:space="preserve">, </w:t>
      </w:r>
      <w:r w:rsidR="00026084" w:rsidRPr="00026084">
        <w:rPr>
          <w:rFonts w:ascii="Times New Roman" w:hAnsi="Times New Roman"/>
          <w:sz w:val="24"/>
          <w:szCs w:val="24"/>
        </w:rPr>
        <w:t>заявке Участника ООО «Развитие»</w:t>
      </w:r>
      <w:r w:rsidR="00026084">
        <w:rPr>
          <w:rFonts w:ascii="Times New Roman" w:hAnsi="Times New Roman"/>
          <w:sz w:val="24"/>
          <w:szCs w:val="24"/>
        </w:rPr>
        <w:t xml:space="preserve"> </w:t>
      </w:r>
      <w:r w:rsidR="00026084" w:rsidRPr="00026084">
        <w:rPr>
          <w:rFonts w:ascii="Times New Roman" w:hAnsi="Times New Roman"/>
          <w:sz w:val="24"/>
          <w:szCs w:val="24"/>
        </w:rPr>
        <w:t>присвоен третий номер</w:t>
      </w:r>
      <w:r w:rsidRPr="00661C94">
        <w:rPr>
          <w:rFonts w:ascii="Times New Roman" w:hAnsi="Times New Roman"/>
          <w:sz w:val="24"/>
          <w:szCs w:val="24"/>
        </w:rPr>
        <w:t xml:space="preserve">. </w:t>
      </w:r>
    </w:p>
    <w:p w:rsidR="0021298C" w:rsidRDefault="0021298C" w:rsidP="0021298C">
      <w:pPr>
        <w:pStyle w:val="a7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GoBack"/>
    </w:p>
    <w:bookmarkEnd w:id="3"/>
    <w:p w:rsidR="00791D0B" w:rsidRPr="00661C94" w:rsidRDefault="00791D0B" w:rsidP="0021298C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661C94">
        <w:rPr>
          <w:rFonts w:ascii="Times New Roman" w:hAnsi="Times New Roman"/>
          <w:color w:val="000000"/>
          <w:sz w:val="24"/>
          <w:szCs w:val="24"/>
        </w:rPr>
        <w:t>Победителем конкурса в отношении Лота  № 3 признан</w:t>
      </w:r>
      <w:proofErr w:type="gramStart"/>
      <w:r w:rsidRPr="00661C94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026084" w:rsidRPr="00026084">
        <w:rPr>
          <w:rFonts w:ascii="Times New Roman" w:hAnsi="Times New Roman"/>
          <w:sz w:val="24"/>
          <w:szCs w:val="24"/>
        </w:rPr>
        <w:t>ООО</w:t>
      </w:r>
      <w:proofErr w:type="gramEnd"/>
      <w:r w:rsidR="00026084" w:rsidRPr="00026084">
        <w:rPr>
          <w:rFonts w:ascii="Times New Roman" w:hAnsi="Times New Roman"/>
          <w:sz w:val="24"/>
          <w:szCs w:val="24"/>
        </w:rPr>
        <w:t xml:space="preserve"> «А-Лига»</w:t>
      </w:r>
      <w:r w:rsidRPr="00661C94">
        <w:rPr>
          <w:rFonts w:ascii="Times New Roman" w:hAnsi="Times New Roman"/>
          <w:sz w:val="24"/>
          <w:szCs w:val="24"/>
        </w:rPr>
        <w:t>.</w:t>
      </w:r>
    </w:p>
    <w:p w:rsidR="0021298C" w:rsidRDefault="0021298C" w:rsidP="00791D0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1298C" w:rsidRDefault="0021298C" w:rsidP="00026084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  <w:sectPr w:rsidR="0021298C" w:rsidSect="00026084">
          <w:pgSz w:w="16838" w:h="11906" w:orient="landscape"/>
          <w:pgMar w:top="993" w:right="851" w:bottom="709" w:left="992" w:header="709" w:footer="293" w:gutter="0"/>
          <w:cols w:space="708"/>
          <w:docGrid w:linePitch="360"/>
        </w:sectPr>
      </w:pPr>
    </w:p>
    <w:p w:rsidR="00D67248" w:rsidRPr="00A41294" w:rsidRDefault="00D67248" w:rsidP="00326784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  <w:sz w:val="22"/>
          <w:szCs w:val="22"/>
        </w:rPr>
      </w:pPr>
      <w:r w:rsidRPr="00A41294">
        <w:rPr>
          <w:b/>
          <w:color w:val="000000"/>
          <w:sz w:val="22"/>
          <w:szCs w:val="22"/>
        </w:rPr>
        <w:lastRenderedPageBreak/>
        <w:t xml:space="preserve">Протокол составлен в </w:t>
      </w:r>
      <w:r w:rsidR="0021298C">
        <w:rPr>
          <w:b/>
          <w:color w:val="000000"/>
          <w:sz w:val="22"/>
          <w:szCs w:val="22"/>
        </w:rPr>
        <w:t>4</w:t>
      </w:r>
      <w:r w:rsidRPr="00A41294">
        <w:rPr>
          <w:b/>
          <w:color w:val="000000"/>
          <w:sz w:val="22"/>
          <w:szCs w:val="22"/>
        </w:rPr>
        <w:t>-</w:t>
      </w:r>
      <w:r w:rsidR="0021298C">
        <w:rPr>
          <w:b/>
          <w:color w:val="000000"/>
          <w:sz w:val="22"/>
          <w:szCs w:val="22"/>
        </w:rPr>
        <w:t>х</w:t>
      </w:r>
      <w:r w:rsidRPr="00A41294">
        <w:rPr>
          <w:b/>
          <w:color w:val="000000"/>
          <w:sz w:val="22"/>
          <w:szCs w:val="22"/>
        </w:rPr>
        <w:t xml:space="preserve"> экземплярах, </w:t>
      </w:r>
      <w:r w:rsidR="003C6233">
        <w:rPr>
          <w:b/>
          <w:color w:val="000000"/>
          <w:sz w:val="22"/>
          <w:szCs w:val="22"/>
        </w:rPr>
        <w:t xml:space="preserve">один </w:t>
      </w:r>
      <w:r w:rsidR="003F2821" w:rsidRPr="00A41294">
        <w:rPr>
          <w:b/>
          <w:color w:val="000000"/>
          <w:sz w:val="22"/>
          <w:szCs w:val="22"/>
        </w:rPr>
        <w:t>из которых переда</w:t>
      </w:r>
      <w:r w:rsidR="00D865AC" w:rsidRPr="00A41294">
        <w:rPr>
          <w:b/>
          <w:color w:val="000000"/>
          <w:sz w:val="22"/>
          <w:szCs w:val="22"/>
        </w:rPr>
        <w:t>е</w:t>
      </w:r>
      <w:r w:rsidRPr="00A41294">
        <w:rPr>
          <w:b/>
          <w:color w:val="000000"/>
          <w:sz w:val="22"/>
          <w:szCs w:val="22"/>
        </w:rPr>
        <w:t>тся победител</w:t>
      </w:r>
      <w:r w:rsidR="00A60E20">
        <w:rPr>
          <w:b/>
          <w:color w:val="000000"/>
          <w:sz w:val="22"/>
          <w:szCs w:val="22"/>
        </w:rPr>
        <w:t>ям</w:t>
      </w:r>
      <w:r w:rsidR="00D865AC" w:rsidRPr="00A41294">
        <w:rPr>
          <w:b/>
          <w:color w:val="000000"/>
          <w:sz w:val="22"/>
          <w:szCs w:val="22"/>
        </w:rPr>
        <w:t xml:space="preserve"> по Лот</w:t>
      </w:r>
      <w:r w:rsidR="00A60E20">
        <w:rPr>
          <w:b/>
          <w:color w:val="000000"/>
          <w:sz w:val="22"/>
          <w:szCs w:val="22"/>
        </w:rPr>
        <w:t>ам</w:t>
      </w:r>
      <w:r w:rsidR="00D865AC" w:rsidRPr="00A41294">
        <w:rPr>
          <w:b/>
          <w:color w:val="000000"/>
          <w:sz w:val="22"/>
          <w:szCs w:val="22"/>
        </w:rPr>
        <w:t xml:space="preserve"> №</w:t>
      </w:r>
      <w:r w:rsidR="00A60E20">
        <w:rPr>
          <w:b/>
          <w:color w:val="000000"/>
          <w:sz w:val="22"/>
          <w:szCs w:val="22"/>
        </w:rPr>
        <w:t>№</w:t>
      </w:r>
      <w:r w:rsidR="009C0C22" w:rsidRPr="00A41294">
        <w:rPr>
          <w:b/>
          <w:color w:val="000000"/>
          <w:sz w:val="22"/>
          <w:szCs w:val="22"/>
        </w:rPr>
        <w:t xml:space="preserve"> </w:t>
      </w:r>
      <w:r w:rsidR="00421D67">
        <w:rPr>
          <w:b/>
          <w:color w:val="000000"/>
          <w:sz w:val="22"/>
          <w:szCs w:val="22"/>
        </w:rPr>
        <w:t>1</w:t>
      </w:r>
      <w:r w:rsidR="00661C94">
        <w:rPr>
          <w:b/>
          <w:color w:val="000000"/>
          <w:sz w:val="22"/>
          <w:szCs w:val="22"/>
        </w:rPr>
        <w:t>-</w:t>
      </w:r>
      <w:r w:rsidR="0021298C">
        <w:rPr>
          <w:b/>
          <w:color w:val="000000"/>
          <w:sz w:val="22"/>
          <w:szCs w:val="22"/>
        </w:rPr>
        <w:t>3</w:t>
      </w:r>
      <w:r w:rsidR="003C6233">
        <w:rPr>
          <w:b/>
          <w:color w:val="000000"/>
          <w:sz w:val="22"/>
          <w:szCs w:val="22"/>
        </w:rPr>
        <w:t xml:space="preserve"> </w:t>
      </w:r>
      <w:r w:rsidR="007B1639" w:rsidRPr="00A41294">
        <w:rPr>
          <w:b/>
          <w:color w:val="000000"/>
          <w:sz w:val="22"/>
          <w:szCs w:val="22"/>
        </w:rPr>
        <w:t>и</w:t>
      </w:r>
      <w:r w:rsidR="008A3A44" w:rsidRPr="00A41294">
        <w:rPr>
          <w:b/>
          <w:color w:val="000000"/>
          <w:sz w:val="22"/>
          <w:szCs w:val="22"/>
        </w:rPr>
        <w:t xml:space="preserve"> </w:t>
      </w:r>
      <w:r w:rsidR="009C0C22" w:rsidRPr="00A41294">
        <w:rPr>
          <w:b/>
          <w:color w:val="000000"/>
          <w:sz w:val="22"/>
          <w:szCs w:val="22"/>
        </w:rPr>
        <w:t>1</w:t>
      </w:r>
      <w:r w:rsidR="00A80145" w:rsidRPr="00A41294">
        <w:rPr>
          <w:b/>
          <w:color w:val="000000"/>
          <w:sz w:val="22"/>
          <w:szCs w:val="22"/>
        </w:rPr>
        <w:t xml:space="preserve"> </w:t>
      </w:r>
      <w:r w:rsidR="00F85931" w:rsidRPr="00A41294">
        <w:rPr>
          <w:b/>
          <w:color w:val="000000"/>
          <w:sz w:val="22"/>
          <w:szCs w:val="22"/>
        </w:rPr>
        <w:t>организатору Конкурса</w:t>
      </w:r>
      <w:r w:rsidRPr="00A41294">
        <w:rPr>
          <w:b/>
          <w:color w:val="000000"/>
          <w:sz w:val="22"/>
          <w:szCs w:val="22"/>
        </w:rPr>
        <w:t>.</w:t>
      </w:r>
    </w:p>
    <w:p w:rsidR="00867DCB" w:rsidRPr="00A41294" w:rsidRDefault="00867DCB" w:rsidP="00326784">
      <w:pPr>
        <w:spacing w:line="360" w:lineRule="auto"/>
        <w:rPr>
          <w:sz w:val="22"/>
          <w:szCs w:val="22"/>
        </w:rPr>
      </w:pPr>
      <w:r w:rsidRPr="00A41294">
        <w:rPr>
          <w:sz w:val="22"/>
          <w:szCs w:val="22"/>
        </w:rPr>
        <w:t>Заседание  комиссии окончено «</w:t>
      </w:r>
      <w:r w:rsidR="00661C94">
        <w:rPr>
          <w:sz w:val="22"/>
          <w:szCs w:val="22"/>
        </w:rPr>
        <w:t>2</w:t>
      </w:r>
      <w:r w:rsidR="0021298C">
        <w:rPr>
          <w:sz w:val="22"/>
          <w:szCs w:val="22"/>
        </w:rPr>
        <w:t>8</w:t>
      </w:r>
      <w:r w:rsidRPr="00A41294">
        <w:rPr>
          <w:sz w:val="22"/>
          <w:szCs w:val="22"/>
        </w:rPr>
        <w:t>»</w:t>
      </w:r>
      <w:r w:rsidR="0024569C" w:rsidRPr="00A41294">
        <w:rPr>
          <w:sz w:val="22"/>
          <w:szCs w:val="22"/>
        </w:rPr>
        <w:t xml:space="preserve"> </w:t>
      </w:r>
      <w:r w:rsidR="00661C94">
        <w:rPr>
          <w:sz w:val="22"/>
          <w:szCs w:val="22"/>
        </w:rPr>
        <w:t>а</w:t>
      </w:r>
      <w:r w:rsidR="0021298C">
        <w:rPr>
          <w:sz w:val="22"/>
          <w:szCs w:val="22"/>
        </w:rPr>
        <w:t>п</w:t>
      </w:r>
      <w:r w:rsidR="00661C94">
        <w:rPr>
          <w:sz w:val="22"/>
          <w:szCs w:val="22"/>
        </w:rPr>
        <w:t>р</w:t>
      </w:r>
      <w:r w:rsidR="0021298C">
        <w:rPr>
          <w:sz w:val="22"/>
          <w:szCs w:val="22"/>
        </w:rPr>
        <w:t>еля</w:t>
      </w:r>
      <w:r w:rsidR="00661C94">
        <w:rPr>
          <w:sz w:val="22"/>
          <w:szCs w:val="22"/>
        </w:rPr>
        <w:t xml:space="preserve"> </w:t>
      </w:r>
      <w:r w:rsidRPr="00A41294">
        <w:rPr>
          <w:sz w:val="22"/>
          <w:szCs w:val="22"/>
        </w:rPr>
        <w:t>201</w:t>
      </w:r>
      <w:r w:rsidR="00661C94">
        <w:rPr>
          <w:sz w:val="22"/>
          <w:szCs w:val="22"/>
        </w:rPr>
        <w:t>6</w:t>
      </w:r>
      <w:r w:rsidRPr="00A41294">
        <w:rPr>
          <w:sz w:val="22"/>
          <w:szCs w:val="22"/>
        </w:rPr>
        <w:t xml:space="preserve"> г., в </w:t>
      </w:r>
      <w:r w:rsidR="00A60E20">
        <w:rPr>
          <w:sz w:val="22"/>
          <w:szCs w:val="22"/>
        </w:rPr>
        <w:t>11</w:t>
      </w:r>
      <w:r w:rsidRPr="00A41294">
        <w:rPr>
          <w:sz w:val="22"/>
          <w:szCs w:val="22"/>
        </w:rPr>
        <w:t xml:space="preserve"> часов</w:t>
      </w:r>
      <w:r w:rsidR="00582326" w:rsidRPr="00A41294">
        <w:rPr>
          <w:sz w:val="22"/>
          <w:szCs w:val="22"/>
        </w:rPr>
        <w:t xml:space="preserve"> </w:t>
      </w:r>
      <w:r w:rsidR="0021298C">
        <w:rPr>
          <w:sz w:val="22"/>
          <w:szCs w:val="22"/>
        </w:rPr>
        <w:t>43</w:t>
      </w:r>
      <w:r w:rsidRPr="00A41294">
        <w:rPr>
          <w:sz w:val="22"/>
          <w:szCs w:val="22"/>
        </w:rPr>
        <w:t xml:space="preserve"> минут</w:t>
      </w:r>
      <w:r w:rsidR="0021298C">
        <w:rPr>
          <w:sz w:val="22"/>
          <w:szCs w:val="22"/>
        </w:rPr>
        <w:t>ы</w:t>
      </w:r>
      <w:r w:rsidRPr="00A41294">
        <w:rPr>
          <w:sz w:val="22"/>
          <w:szCs w:val="22"/>
        </w:rPr>
        <w:t>.</w:t>
      </w:r>
    </w:p>
    <w:p w:rsidR="006E6D3A" w:rsidRPr="00A41294" w:rsidRDefault="006E6D3A" w:rsidP="00326784">
      <w:pPr>
        <w:pStyle w:val="a3"/>
        <w:spacing w:before="0" w:after="0" w:line="360" w:lineRule="auto"/>
        <w:ind w:left="0"/>
        <w:jc w:val="both"/>
        <w:rPr>
          <w:b/>
          <w:color w:val="000000"/>
          <w:sz w:val="22"/>
          <w:szCs w:val="22"/>
        </w:rPr>
      </w:pPr>
      <w:r w:rsidRPr="00A41294">
        <w:rPr>
          <w:b/>
          <w:color w:val="000000"/>
          <w:sz w:val="22"/>
          <w:szCs w:val="22"/>
        </w:rPr>
        <w:t xml:space="preserve">6. Подписи. </w:t>
      </w:r>
    </w:p>
    <w:p w:rsidR="006E6D3A" w:rsidRDefault="00A80145" w:rsidP="00326784">
      <w:pPr>
        <w:pStyle w:val="a3"/>
        <w:spacing w:before="0" w:after="0" w:line="360" w:lineRule="auto"/>
        <w:ind w:left="0"/>
        <w:jc w:val="both"/>
        <w:rPr>
          <w:sz w:val="22"/>
          <w:szCs w:val="22"/>
        </w:rPr>
      </w:pPr>
      <w:r w:rsidRPr="00A41294">
        <w:rPr>
          <w:sz w:val="22"/>
          <w:szCs w:val="22"/>
        </w:rPr>
        <w:t>П</w:t>
      </w:r>
      <w:r w:rsidR="006E6D3A" w:rsidRPr="00A41294">
        <w:rPr>
          <w:sz w:val="22"/>
          <w:szCs w:val="22"/>
        </w:rPr>
        <w:t>ротокол подписан всеми присутствующими на заседании членами конкурсной комиссии.</w:t>
      </w:r>
    </w:p>
    <w:p w:rsidR="003C6233" w:rsidRDefault="003C6233" w:rsidP="00326784">
      <w:pPr>
        <w:pStyle w:val="a3"/>
        <w:spacing w:before="0" w:after="0" w:line="360" w:lineRule="auto"/>
        <w:ind w:left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51"/>
        <w:gridCol w:w="4207"/>
      </w:tblGrid>
      <w:tr w:rsidR="006E6D3A" w:rsidRPr="00840998" w:rsidTr="008A3A44">
        <w:trPr>
          <w:trHeight w:val="385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ind w:left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Комиссия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</w:rPr>
            </w:pPr>
            <w:r w:rsidRPr="005F3766">
              <w:rPr>
                <w:b/>
              </w:rPr>
              <w:t>ФИО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Подпись</w:t>
            </w: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Председатель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CA5815" w:rsidP="00CA5815">
            <w:pPr>
              <w:pStyle w:val="a3"/>
              <w:spacing w:before="0" w:after="0"/>
              <w:ind w:left="282"/>
              <w:jc w:val="both"/>
            </w:pPr>
            <w:r>
              <w:t>Е</w:t>
            </w:r>
            <w:r w:rsidR="002B4FAD" w:rsidRPr="00EF74D7">
              <w:t>.</w:t>
            </w:r>
            <w:r w:rsidR="002B4FAD">
              <w:t>В</w:t>
            </w:r>
            <w:r w:rsidR="002B4FAD" w:rsidRPr="00EF74D7">
              <w:t>.</w:t>
            </w:r>
            <w:r w:rsidR="002B4FAD">
              <w:t xml:space="preserve"> </w:t>
            </w:r>
            <w:r>
              <w:t>Лях</w:t>
            </w:r>
            <w:r w:rsidR="002B4FAD" w:rsidRPr="00EF74D7">
              <w:t xml:space="preserve">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Default="00661C94" w:rsidP="002B4FAD">
            <w:pPr>
              <w:pStyle w:val="a3"/>
              <w:spacing w:before="0" w:after="0"/>
              <w:ind w:left="282"/>
              <w:jc w:val="both"/>
            </w:pPr>
            <w:r>
              <w:t>Д.В. Горшков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2B4FAD" w:rsidP="002B4FAD">
            <w:pPr>
              <w:pStyle w:val="a3"/>
              <w:spacing w:before="0" w:after="0"/>
              <w:ind w:left="282"/>
              <w:jc w:val="both"/>
            </w:pPr>
            <w:r>
              <w:t xml:space="preserve">З.Ф. </w:t>
            </w:r>
            <w:proofErr w:type="spellStart"/>
            <w:r>
              <w:t>Мазур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2B4FAD" w:rsidP="002B4FAD">
            <w:pPr>
              <w:pStyle w:val="a3"/>
              <w:spacing w:before="0" w:after="0"/>
              <w:ind w:left="282"/>
              <w:jc w:val="both"/>
            </w:pPr>
            <w:r w:rsidRPr="00134DE1">
              <w:t>М.Н.</w:t>
            </w:r>
            <w:r>
              <w:t xml:space="preserve"> </w:t>
            </w:r>
            <w:r w:rsidRPr="00134DE1">
              <w:t xml:space="preserve">Гусейнов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Default="002B4FAD" w:rsidP="002B4FAD">
            <w:pPr>
              <w:pStyle w:val="a3"/>
              <w:spacing w:before="0" w:after="0"/>
              <w:ind w:left="282"/>
              <w:jc w:val="both"/>
            </w:pPr>
            <w:r>
              <w:t xml:space="preserve">А. В. </w:t>
            </w:r>
            <w:proofErr w:type="spellStart"/>
            <w:r>
              <w:t>Сажнев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421D67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67" w:rsidRPr="00840998" w:rsidRDefault="00421D67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67" w:rsidRDefault="00661C94" w:rsidP="00421D67">
            <w:pPr>
              <w:pStyle w:val="a3"/>
              <w:spacing w:before="0" w:after="0"/>
              <w:ind w:left="282"/>
              <w:jc w:val="both"/>
            </w:pPr>
            <w:r>
              <w:t>И.М. Потапова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67" w:rsidRPr="00840998" w:rsidRDefault="00421D67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582326" w:rsidRDefault="00E96F55" w:rsidP="00754CAF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582326">
              <w:rPr>
                <w:rStyle w:val="af1"/>
                <w:b w:val="0"/>
                <w:color w:val="111111"/>
              </w:rPr>
              <w:t>Секретарь конкурсной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A41294" w:rsidRDefault="00A41294" w:rsidP="002B4FAD">
            <w:pPr>
              <w:pStyle w:val="a3"/>
              <w:spacing w:before="0" w:after="0"/>
              <w:ind w:left="282"/>
              <w:jc w:val="both"/>
              <w:rPr>
                <w:b/>
              </w:rPr>
            </w:pPr>
            <w:r w:rsidRPr="00A41294">
              <w:rPr>
                <w:rStyle w:val="af1"/>
                <w:b w:val="0"/>
                <w:color w:val="111111"/>
              </w:rPr>
              <w:t xml:space="preserve">Л.А. </w:t>
            </w:r>
            <w:proofErr w:type="spellStart"/>
            <w:r w:rsidRPr="00A41294">
              <w:rPr>
                <w:rStyle w:val="af1"/>
                <w:b w:val="0"/>
                <w:color w:val="111111"/>
              </w:rPr>
              <w:t>Афонин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Default="00E96F55" w:rsidP="00AE4427">
            <w:pPr>
              <w:pStyle w:val="a3"/>
              <w:spacing w:before="0" w:after="0"/>
              <w:ind w:left="0"/>
              <w:rPr>
                <w:color w:val="000000"/>
              </w:rPr>
            </w:pPr>
          </w:p>
        </w:tc>
      </w:tr>
    </w:tbl>
    <w:p w:rsidR="006E6D3A" w:rsidRDefault="006E6D3A" w:rsidP="00856328">
      <w:pPr>
        <w:pStyle w:val="a3"/>
        <w:spacing w:before="0" w:after="0"/>
        <w:ind w:left="0"/>
        <w:rPr>
          <w:b/>
          <w:color w:val="000000"/>
        </w:rPr>
      </w:pPr>
    </w:p>
    <w:sectPr w:rsidR="006E6D3A" w:rsidSect="006E10EE">
      <w:pgSz w:w="11906" w:h="16838"/>
      <w:pgMar w:top="851" w:right="56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C3" w:rsidRDefault="00C547C3" w:rsidP="00A80C3A">
      <w:r>
        <w:separator/>
      </w:r>
    </w:p>
  </w:endnote>
  <w:endnote w:type="continuationSeparator" w:id="0">
    <w:p w:rsidR="00C547C3" w:rsidRDefault="00C547C3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4" w:rsidRDefault="00661C94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084">
      <w:rPr>
        <w:noProof/>
      </w:rPr>
      <w:t>4</w:t>
    </w:r>
    <w:r>
      <w:rPr>
        <w:noProof/>
      </w:rPr>
      <w:fldChar w:fldCharType="end"/>
    </w:r>
  </w:p>
  <w:p w:rsidR="00661C94" w:rsidRDefault="00661C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C3" w:rsidRDefault="00C547C3" w:rsidP="00A80C3A">
      <w:r>
        <w:separator/>
      </w:r>
    </w:p>
  </w:footnote>
  <w:footnote w:type="continuationSeparator" w:id="0">
    <w:p w:rsidR="00C547C3" w:rsidRDefault="00C547C3" w:rsidP="00A8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62F"/>
    <w:multiLevelType w:val="hybridMultilevel"/>
    <w:tmpl w:val="6204A34C"/>
    <w:lvl w:ilvl="0" w:tplc="F732E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C0D"/>
    <w:multiLevelType w:val="hybridMultilevel"/>
    <w:tmpl w:val="CDC817B0"/>
    <w:lvl w:ilvl="0" w:tplc="1276A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5FD8"/>
    <w:multiLevelType w:val="hybridMultilevel"/>
    <w:tmpl w:val="5D6A0872"/>
    <w:lvl w:ilvl="0" w:tplc="46E65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16CB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22E9"/>
    <w:multiLevelType w:val="hybridMultilevel"/>
    <w:tmpl w:val="5C2A3184"/>
    <w:lvl w:ilvl="0" w:tplc="C54A30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C45A8"/>
    <w:multiLevelType w:val="hybridMultilevel"/>
    <w:tmpl w:val="D3E0C0E0"/>
    <w:lvl w:ilvl="0" w:tplc="C988F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B5DC6"/>
    <w:multiLevelType w:val="hybridMultilevel"/>
    <w:tmpl w:val="FAF06FB2"/>
    <w:lvl w:ilvl="0" w:tplc="E3188E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53CE9"/>
    <w:multiLevelType w:val="hybridMultilevel"/>
    <w:tmpl w:val="5B622362"/>
    <w:lvl w:ilvl="0" w:tplc="1D9C37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A1756F3"/>
    <w:multiLevelType w:val="hybridMultilevel"/>
    <w:tmpl w:val="5818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70D7"/>
    <w:multiLevelType w:val="hybridMultilevel"/>
    <w:tmpl w:val="A40CF576"/>
    <w:lvl w:ilvl="0" w:tplc="E572C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64C51"/>
    <w:multiLevelType w:val="hybridMultilevel"/>
    <w:tmpl w:val="EB20D90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1F01"/>
    <w:multiLevelType w:val="hybridMultilevel"/>
    <w:tmpl w:val="E738F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70CA2"/>
    <w:multiLevelType w:val="hybridMultilevel"/>
    <w:tmpl w:val="C14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C5B9D"/>
    <w:multiLevelType w:val="hybridMultilevel"/>
    <w:tmpl w:val="06F6786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45E97"/>
    <w:multiLevelType w:val="hybridMultilevel"/>
    <w:tmpl w:val="718C76F4"/>
    <w:lvl w:ilvl="0" w:tplc="3D9E453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8061B64"/>
    <w:multiLevelType w:val="hybridMultilevel"/>
    <w:tmpl w:val="1AB020F0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9786D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43F34"/>
    <w:multiLevelType w:val="hybridMultilevel"/>
    <w:tmpl w:val="B6E62252"/>
    <w:lvl w:ilvl="0" w:tplc="F732E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B227D"/>
    <w:multiLevelType w:val="hybridMultilevel"/>
    <w:tmpl w:val="B42CB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902D4"/>
    <w:multiLevelType w:val="hybridMultilevel"/>
    <w:tmpl w:val="962E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24734"/>
    <w:multiLevelType w:val="hybridMultilevel"/>
    <w:tmpl w:val="C2BA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C4BFA"/>
    <w:multiLevelType w:val="hybridMultilevel"/>
    <w:tmpl w:val="0282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37AA0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95927C3"/>
    <w:multiLevelType w:val="hybridMultilevel"/>
    <w:tmpl w:val="06F6786E"/>
    <w:lvl w:ilvl="0" w:tplc="380A3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2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19"/>
  </w:num>
  <w:num w:numId="11">
    <w:abstractNumId w:val="1"/>
  </w:num>
  <w:num w:numId="12">
    <w:abstractNumId w:val="22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23"/>
  </w:num>
  <w:num w:numId="18">
    <w:abstractNumId w:val="13"/>
  </w:num>
  <w:num w:numId="19">
    <w:abstractNumId w:val="10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57"/>
    <w:rsid w:val="00026084"/>
    <w:rsid w:val="000334FE"/>
    <w:rsid w:val="000415DC"/>
    <w:rsid w:val="000509DB"/>
    <w:rsid w:val="0005512C"/>
    <w:rsid w:val="000557BE"/>
    <w:rsid w:val="00057DD8"/>
    <w:rsid w:val="00061CD2"/>
    <w:rsid w:val="00081627"/>
    <w:rsid w:val="0008428B"/>
    <w:rsid w:val="00090E12"/>
    <w:rsid w:val="00096C53"/>
    <w:rsid w:val="000A0F0B"/>
    <w:rsid w:val="000B07B1"/>
    <w:rsid w:val="000B10CC"/>
    <w:rsid w:val="000B3DDE"/>
    <w:rsid w:val="000B6D9A"/>
    <w:rsid w:val="000C2A2A"/>
    <w:rsid w:val="000C2F8A"/>
    <w:rsid w:val="000C6BEF"/>
    <w:rsid w:val="000D3C18"/>
    <w:rsid w:val="000D645F"/>
    <w:rsid w:val="000E2066"/>
    <w:rsid w:val="000E4B5C"/>
    <w:rsid w:val="000F03FF"/>
    <w:rsid w:val="00100645"/>
    <w:rsid w:val="00102569"/>
    <w:rsid w:val="00103AC9"/>
    <w:rsid w:val="00104DF2"/>
    <w:rsid w:val="00113908"/>
    <w:rsid w:val="00137A15"/>
    <w:rsid w:val="001416E6"/>
    <w:rsid w:val="00141FE5"/>
    <w:rsid w:val="00143EED"/>
    <w:rsid w:val="00147CC9"/>
    <w:rsid w:val="001623F2"/>
    <w:rsid w:val="00173A18"/>
    <w:rsid w:val="00174045"/>
    <w:rsid w:val="001B0966"/>
    <w:rsid w:val="001C42A5"/>
    <w:rsid w:val="001C5921"/>
    <w:rsid w:val="001D41BC"/>
    <w:rsid w:val="001E2854"/>
    <w:rsid w:val="001E7A68"/>
    <w:rsid w:val="00201C0B"/>
    <w:rsid w:val="00204189"/>
    <w:rsid w:val="0021298C"/>
    <w:rsid w:val="00215C90"/>
    <w:rsid w:val="00230D55"/>
    <w:rsid w:val="00232E5F"/>
    <w:rsid w:val="002333E0"/>
    <w:rsid w:val="00241400"/>
    <w:rsid w:val="00241EA3"/>
    <w:rsid w:val="00244FC1"/>
    <w:rsid w:val="0024569C"/>
    <w:rsid w:val="00257E56"/>
    <w:rsid w:val="00264EEF"/>
    <w:rsid w:val="002734AA"/>
    <w:rsid w:val="002742B5"/>
    <w:rsid w:val="00296F24"/>
    <w:rsid w:val="00297A1E"/>
    <w:rsid w:val="002B1D05"/>
    <w:rsid w:val="002B4FAD"/>
    <w:rsid w:val="002C2222"/>
    <w:rsid w:val="002C336E"/>
    <w:rsid w:val="002E07B1"/>
    <w:rsid w:val="002E1CE3"/>
    <w:rsid w:val="002F29E7"/>
    <w:rsid w:val="00306586"/>
    <w:rsid w:val="00312D1D"/>
    <w:rsid w:val="00317AE8"/>
    <w:rsid w:val="0032047D"/>
    <w:rsid w:val="00320B70"/>
    <w:rsid w:val="00326784"/>
    <w:rsid w:val="00372DA3"/>
    <w:rsid w:val="00384D42"/>
    <w:rsid w:val="00390763"/>
    <w:rsid w:val="00396675"/>
    <w:rsid w:val="00397724"/>
    <w:rsid w:val="003A27FC"/>
    <w:rsid w:val="003A31C5"/>
    <w:rsid w:val="003A3440"/>
    <w:rsid w:val="003C5A4A"/>
    <w:rsid w:val="003C6233"/>
    <w:rsid w:val="003D6E66"/>
    <w:rsid w:val="003F2821"/>
    <w:rsid w:val="003F6F18"/>
    <w:rsid w:val="00402B19"/>
    <w:rsid w:val="00405282"/>
    <w:rsid w:val="00406B58"/>
    <w:rsid w:val="00412433"/>
    <w:rsid w:val="00416821"/>
    <w:rsid w:val="004175A5"/>
    <w:rsid w:val="00420658"/>
    <w:rsid w:val="00421D67"/>
    <w:rsid w:val="00426854"/>
    <w:rsid w:val="00433958"/>
    <w:rsid w:val="00434FE0"/>
    <w:rsid w:val="004436A2"/>
    <w:rsid w:val="004519C0"/>
    <w:rsid w:val="004604D5"/>
    <w:rsid w:val="0046373C"/>
    <w:rsid w:val="00470BF8"/>
    <w:rsid w:val="004801EC"/>
    <w:rsid w:val="00481A1A"/>
    <w:rsid w:val="00491E0A"/>
    <w:rsid w:val="00492183"/>
    <w:rsid w:val="004975DC"/>
    <w:rsid w:val="004A0F39"/>
    <w:rsid w:val="004A6717"/>
    <w:rsid w:val="004C3D16"/>
    <w:rsid w:val="004C4B13"/>
    <w:rsid w:val="004C5ADE"/>
    <w:rsid w:val="004E03AC"/>
    <w:rsid w:val="004F2DCD"/>
    <w:rsid w:val="004F3226"/>
    <w:rsid w:val="004F438C"/>
    <w:rsid w:val="004F6DAC"/>
    <w:rsid w:val="005061D7"/>
    <w:rsid w:val="0051728B"/>
    <w:rsid w:val="00547AA4"/>
    <w:rsid w:val="00554484"/>
    <w:rsid w:val="0057129F"/>
    <w:rsid w:val="00572332"/>
    <w:rsid w:val="00582326"/>
    <w:rsid w:val="005843E6"/>
    <w:rsid w:val="00586234"/>
    <w:rsid w:val="0059015C"/>
    <w:rsid w:val="005A4C04"/>
    <w:rsid w:val="005A6135"/>
    <w:rsid w:val="005D7DEA"/>
    <w:rsid w:val="005E16A0"/>
    <w:rsid w:val="005E2A25"/>
    <w:rsid w:val="005E7574"/>
    <w:rsid w:val="005F3766"/>
    <w:rsid w:val="005F4C5F"/>
    <w:rsid w:val="00602257"/>
    <w:rsid w:val="0062485C"/>
    <w:rsid w:val="00627841"/>
    <w:rsid w:val="00637EEE"/>
    <w:rsid w:val="00646495"/>
    <w:rsid w:val="0065190D"/>
    <w:rsid w:val="006569F3"/>
    <w:rsid w:val="00661C94"/>
    <w:rsid w:val="00664822"/>
    <w:rsid w:val="006653CB"/>
    <w:rsid w:val="00683B52"/>
    <w:rsid w:val="006A238F"/>
    <w:rsid w:val="006A7E09"/>
    <w:rsid w:val="006B22DB"/>
    <w:rsid w:val="006C3D4E"/>
    <w:rsid w:val="006D1B90"/>
    <w:rsid w:val="006E10EE"/>
    <w:rsid w:val="006E3644"/>
    <w:rsid w:val="006E6854"/>
    <w:rsid w:val="006E6D3A"/>
    <w:rsid w:val="00702D7F"/>
    <w:rsid w:val="00711CFE"/>
    <w:rsid w:val="00714C04"/>
    <w:rsid w:val="00730DEE"/>
    <w:rsid w:val="007327B1"/>
    <w:rsid w:val="00735FFF"/>
    <w:rsid w:val="00745B7C"/>
    <w:rsid w:val="007516A1"/>
    <w:rsid w:val="00754CAF"/>
    <w:rsid w:val="00773B39"/>
    <w:rsid w:val="00776CC0"/>
    <w:rsid w:val="007813D4"/>
    <w:rsid w:val="00791D0B"/>
    <w:rsid w:val="0079286C"/>
    <w:rsid w:val="00796E03"/>
    <w:rsid w:val="007B1639"/>
    <w:rsid w:val="007C2E25"/>
    <w:rsid w:val="007D7283"/>
    <w:rsid w:val="007E1D64"/>
    <w:rsid w:val="007E547F"/>
    <w:rsid w:val="007F5664"/>
    <w:rsid w:val="007F5D21"/>
    <w:rsid w:val="00840998"/>
    <w:rsid w:val="00842DF8"/>
    <w:rsid w:val="00844E15"/>
    <w:rsid w:val="008509A9"/>
    <w:rsid w:val="00855421"/>
    <w:rsid w:val="00856328"/>
    <w:rsid w:val="00857941"/>
    <w:rsid w:val="00867DCB"/>
    <w:rsid w:val="008702F7"/>
    <w:rsid w:val="00885201"/>
    <w:rsid w:val="008859E0"/>
    <w:rsid w:val="008A3A44"/>
    <w:rsid w:val="008A5706"/>
    <w:rsid w:val="008A6B4E"/>
    <w:rsid w:val="008B0575"/>
    <w:rsid w:val="008C0349"/>
    <w:rsid w:val="008C31E9"/>
    <w:rsid w:val="008C4413"/>
    <w:rsid w:val="008D42C5"/>
    <w:rsid w:val="008E2C06"/>
    <w:rsid w:val="00922EB6"/>
    <w:rsid w:val="00925C98"/>
    <w:rsid w:val="0093099F"/>
    <w:rsid w:val="009366C8"/>
    <w:rsid w:val="00936CF6"/>
    <w:rsid w:val="00944555"/>
    <w:rsid w:val="00955C57"/>
    <w:rsid w:val="00987D53"/>
    <w:rsid w:val="00992E9A"/>
    <w:rsid w:val="009A7E31"/>
    <w:rsid w:val="009C0C22"/>
    <w:rsid w:val="009E5D45"/>
    <w:rsid w:val="009E62DE"/>
    <w:rsid w:val="009E6A88"/>
    <w:rsid w:val="00A045E1"/>
    <w:rsid w:val="00A1341A"/>
    <w:rsid w:val="00A32DEE"/>
    <w:rsid w:val="00A41294"/>
    <w:rsid w:val="00A55FA5"/>
    <w:rsid w:val="00A60E20"/>
    <w:rsid w:val="00A65C21"/>
    <w:rsid w:val="00A80145"/>
    <w:rsid w:val="00A80C3A"/>
    <w:rsid w:val="00A85666"/>
    <w:rsid w:val="00A91510"/>
    <w:rsid w:val="00A939AD"/>
    <w:rsid w:val="00A953E4"/>
    <w:rsid w:val="00AB2350"/>
    <w:rsid w:val="00AC0212"/>
    <w:rsid w:val="00AD480E"/>
    <w:rsid w:val="00AE3CFF"/>
    <w:rsid w:val="00AE4427"/>
    <w:rsid w:val="00AE514A"/>
    <w:rsid w:val="00AF643F"/>
    <w:rsid w:val="00B00070"/>
    <w:rsid w:val="00B1449E"/>
    <w:rsid w:val="00B16D0C"/>
    <w:rsid w:val="00B22198"/>
    <w:rsid w:val="00B2354F"/>
    <w:rsid w:val="00B240E8"/>
    <w:rsid w:val="00B314C1"/>
    <w:rsid w:val="00B62BFD"/>
    <w:rsid w:val="00B653F3"/>
    <w:rsid w:val="00B67889"/>
    <w:rsid w:val="00B76FB2"/>
    <w:rsid w:val="00B77965"/>
    <w:rsid w:val="00B80857"/>
    <w:rsid w:val="00B82392"/>
    <w:rsid w:val="00B873A1"/>
    <w:rsid w:val="00BA34BE"/>
    <w:rsid w:val="00BC0ED5"/>
    <w:rsid w:val="00BD598F"/>
    <w:rsid w:val="00C152AA"/>
    <w:rsid w:val="00C17645"/>
    <w:rsid w:val="00C22CAE"/>
    <w:rsid w:val="00C25733"/>
    <w:rsid w:val="00C32A52"/>
    <w:rsid w:val="00C430FA"/>
    <w:rsid w:val="00C47159"/>
    <w:rsid w:val="00C547C3"/>
    <w:rsid w:val="00C63A73"/>
    <w:rsid w:val="00C64AC5"/>
    <w:rsid w:val="00C652FA"/>
    <w:rsid w:val="00C90813"/>
    <w:rsid w:val="00C954BF"/>
    <w:rsid w:val="00CA5815"/>
    <w:rsid w:val="00CB04D1"/>
    <w:rsid w:val="00CB1812"/>
    <w:rsid w:val="00CD0792"/>
    <w:rsid w:val="00CD0867"/>
    <w:rsid w:val="00CD2A76"/>
    <w:rsid w:val="00CD36D7"/>
    <w:rsid w:val="00CF19A8"/>
    <w:rsid w:val="00D00DEE"/>
    <w:rsid w:val="00D04C3F"/>
    <w:rsid w:val="00D278F8"/>
    <w:rsid w:val="00D35518"/>
    <w:rsid w:val="00D35A45"/>
    <w:rsid w:val="00D3613E"/>
    <w:rsid w:val="00D47E1A"/>
    <w:rsid w:val="00D51C66"/>
    <w:rsid w:val="00D55FF3"/>
    <w:rsid w:val="00D60F11"/>
    <w:rsid w:val="00D64503"/>
    <w:rsid w:val="00D67248"/>
    <w:rsid w:val="00D73805"/>
    <w:rsid w:val="00D865AC"/>
    <w:rsid w:val="00D873B8"/>
    <w:rsid w:val="00D876E1"/>
    <w:rsid w:val="00DA017F"/>
    <w:rsid w:val="00DA2BF9"/>
    <w:rsid w:val="00DA49A8"/>
    <w:rsid w:val="00DB45D7"/>
    <w:rsid w:val="00DC5697"/>
    <w:rsid w:val="00DC5EEB"/>
    <w:rsid w:val="00DD063E"/>
    <w:rsid w:val="00DD7916"/>
    <w:rsid w:val="00DE0B3F"/>
    <w:rsid w:val="00DE4186"/>
    <w:rsid w:val="00DE779E"/>
    <w:rsid w:val="00DE77B8"/>
    <w:rsid w:val="00DF6250"/>
    <w:rsid w:val="00E01BE5"/>
    <w:rsid w:val="00E13B89"/>
    <w:rsid w:val="00E35FE7"/>
    <w:rsid w:val="00E50885"/>
    <w:rsid w:val="00E96F55"/>
    <w:rsid w:val="00EA17E1"/>
    <w:rsid w:val="00EB4D5D"/>
    <w:rsid w:val="00ED1BD3"/>
    <w:rsid w:val="00EE7A9F"/>
    <w:rsid w:val="00EF56EA"/>
    <w:rsid w:val="00F07E16"/>
    <w:rsid w:val="00F16051"/>
    <w:rsid w:val="00F74155"/>
    <w:rsid w:val="00F80DAF"/>
    <w:rsid w:val="00F82CA8"/>
    <w:rsid w:val="00F85931"/>
    <w:rsid w:val="00F963C8"/>
    <w:rsid w:val="00FA5996"/>
    <w:rsid w:val="00FA63C8"/>
    <w:rsid w:val="00FB2837"/>
    <w:rsid w:val="00FB6781"/>
    <w:rsid w:val="00FC00A5"/>
    <w:rsid w:val="00FC1243"/>
    <w:rsid w:val="00FE77E2"/>
    <w:rsid w:val="00FE7929"/>
    <w:rsid w:val="00FF5CB8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5A79-0C17-4EF4-9493-66CE33D7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office14</cp:lastModifiedBy>
  <cp:revision>4</cp:revision>
  <cp:lastPrinted>2016-03-24T11:37:00Z</cp:lastPrinted>
  <dcterms:created xsi:type="dcterms:W3CDTF">2016-04-28T07:09:00Z</dcterms:created>
  <dcterms:modified xsi:type="dcterms:W3CDTF">2016-04-28T09:46:00Z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1yfW0rKNMxVTwM7RAUc6soTNY4yGg7gaeCbpIqCbrL_U</vt:lpwstr>
  </property>
  <property fmtid="{D5CDD505-2E9C-101B-9397-08002B2CF9AE}" pid="4" name="Google.Documents.RevisionId">
    <vt:lpwstr>01269609240389806345</vt:lpwstr>
  </property>
  <property fmtid="{D5CDD505-2E9C-101B-9397-08002B2CF9AE}" pid="5" name="Google.Documents.PreviousRevisionId">
    <vt:lpwstr>05069852424501051509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