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7A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sz w:val="24"/>
          <w:szCs w:val="24"/>
        </w:rPr>
        <w:t>П</w:t>
      </w:r>
      <w:r w:rsidR="00045CE5">
        <w:rPr>
          <w:rFonts w:ascii="Times New Roman" w:hAnsi="Times New Roman" w:cs="Times New Roman"/>
          <w:sz w:val="24"/>
          <w:szCs w:val="24"/>
        </w:rPr>
        <w:t xml:space="preserve">араметры участия Фонда </w:t>
      </w:r>
      <w:r w:rsidR="00294D79">
        <w:rPr>
          <w:rFonts w:ascii="Times New Roman" w:hAnsi="Times New Roman" w:cs="Times New Roman"/>
          <w:sz w:val="24"/>
          <w:szCs w:val="24"/>
        </w:rPr>
        <w:t xml:space="preserve">ФРМ </w:t>
      </w:r>
      <w:bookmarkStart w:id="0" w:name="_GoBack"/>
      <w:bookmarkEnd w:id="0"/>
      <w:r w:rsidR="00045CE5">
        <w:rPr>
          <w:rFonts w:ascii="Times New Roman" w:hAnsi="Times New Roman" w:cs="Times New Roman"/>
          <w:sz w:val="24"/>
          <w:szCs w:val="24"/>
        </w:rPr>
        <w:t xml:space="preserve">в финансировании инвестиционных проектов 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830"/>
        <w:gridCol w:w="3543"/>
        <w:gridCol w:w="3120"/>
      </w:tblGrid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3" w:type="dxa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 xml:space="preserve">для займов </w:t>
            </w:r>
            <w:r w:rsidR="00AA7E63" w:rsidRPr="00AA7E63">
              <w:rPr>
                <w:rFonts w:ascii="Times New Roman" w:hAnsi="Times New Roman" w:cs="Times New Roman"/>
                <w:szCs w:val="24"/>
              </w:rPr>
              <w:br/>
            </w:r>
            <w:r w:rsidRPr="00AA7E63">
              <w:rPr>
                <w:rFonts w:ascii="Times New Roman" w:hAnsi="Times New Roman" w:cs="Times New Roman"/>
                <w:szCs w:val="24"/>
              </w:rPr>
              <w:t>свыше 250 млн. рублей</w:t>
            </w:r>
          </w:p>
        </w:tc>
        <w:tc>
          <w:tcPr>
            <w:tcW w:w="3120" w:type="dxa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 xml:space="preserve">для займов </w:t>
            </w:r>
            <w:r w:rsidR="00AA7E63" w:rsidRPr="00AA7E63">
              <w:rPr>
                <w:rFonts w:ascii="Times New Roman" w:hAnsi="Times New Roman" w:cs="Times New Roman"/>
                <w:szCs w:val="24"/>
              </w:rPr>
              <w:br/>
            </w:r>
            <w:r w:rsidRPr="00AA7E63">
              <w:rPr>
                <w:rFonts w:ascii="Times New Roman" w:hAnsi="Times New Roman" w:cs="Times New Roman"/>
                <w:szCs w:val="24"/>
              </w:rPr>
              <w:t>до 250 млн. рублей</w:t>
            </w:r>
          </w:p>
        </w:tc>
      </w:tr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Форма участия:</w:t>
            </w:r>
          </w:p>
        </w:tc>
        <w:tc>
          <w:tcPr>
            <w:tcW w:w="3543" w:type="dxa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Предоставление денежных средств в форме займа + вхождение в капитал компании-инициатора (не более 49%)</w:t>
            </w:r>
          </w:p>
        </w:tc>
        <w:tc>
          <w:tcPr>
            <w:tcW w:w="3120" w:type="dxa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Предоставление денежных средств в форме займа</w:t>
            </w:r>
          </w:p>
        </w:tc>
      </w:tr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Условия предоставления поддержки фондом</w:t>
            </w:r>
          </w:p>
        </w:tc>
        <w:tc>
          <w:tcPr>
            <w:tcW w:w="6663" w:type="dxa"/>
            <w:gridSpan w:val="2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Сумма - от 10 до 1000 млн. руб.</w:t>
            </w:r>
          </w:p>
        </w:tc>
      </w:tr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Процентная ставка</w:t>
            </w:r>
          </w:p>
        </w:tc>
        <w:tc>
          <w:tcPr>
            <w:tcW w:w="3543" w:type="dxa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5% годовых</w:t>
            </w:r>
          </w:p>
        </w:tc>
        <w:tc>
          <w:tcPr>
            <w:tcW w:w="3120" w:type="dxa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0% годовых</w:t>
            </w:r>
          </w:p>
        </w:tc>
      </w:tr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Срок</w:t>
            </w:r>
          </w:p>
        </w:tc>
        <w:tc>
          <w:tcPr>
            <w:tcW w:w="6663" w:type="dxa"/>
            <w:gridSpan w:val="2"/>
            <w:vAlign w:val="center"/>
          </w:tcPr>
          <w:p w:rsidR="00045CE5" w:rsidRPr="00AA7E63" w:rsidRDefault="00045CE5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до 15 лет</w:t>
            </w:r>
          </w:p>
        </w:tc>
      </w:tr>
      <w:tr w:rsidR="00AA7E63" w:rsidTr="007206EB">
        <w:tc>
          <w:tcPr>
            <w:tcW w:w="2830" w:type="dxa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Участие собственными средствами Инициатора в проекте</w:t>
            </w:r>
          </w:p>
        </w:tc>
        <w:tc>
          <w:tcPr>
            <w:tcW w:w="6663" w:type="dxa"/>
            <w:gridSpan w:val="2"/>
            <w:vAlign w:val="center"/>
          </w:tcPr>
          <w:p w:rsidR="00AA7E63" w:rsidRPr="00AA7E63" w:rsidRDefault="00AA7E63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не менее 20%</w:t>
            </w:r>
          </w:p>
        </w:tc>
      </w:tr>
      <w:tr w:rsidR="00AA7E63" w:rsidTr="00660F84">
        <w:tc>
          <w:tcPr>
            <w:tcW w:w="2830" w:type="dxa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Отсрочка по выплате займа</w:t>
            </w:r>
          </w:p>
        </w:tc>
        <w:tc>
          <w:tcPr>
            <w:tcW w:w="6663" w:type="dxa"/>
            <w:gridSpan w:val="2"/>
            <w:vAlign w:val="center"/>
          </w:tcPr>
          <w:p w:rsidR="00AA7E63" w:rsidRPr="00AA7E63" w:rsidRDefault="00AA7E63" w:rsidP="00AA7E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не более 3 лет</w:t>
            </w:r>
          </w:p>
        </w:tc>
      </w:tr>
      <w:tr w:rsidR="00045CE5" w:rsidTr="00AA7E63">
        <w:tc>
          <w:tcPr>
            <w:tcW w:w="283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Наличие обеспечения, в том числе</w:t>
            </w:r>
          </w:p>
        </w:tc>
        <w:tc>
          <w:tcPr>
            <w:tcW w:w="3543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стандартные виды обеспечения, которые должны отдельно или в совокупности составлять не менее суммы займа с учетом процентов за первые 6 месяцев. Дополнительно в качестве единственной формы обеспечения может быть использовано поручительство холдинговой (материнской) компании, имеющей международный/российский инвестиционный/кредитный рейтинг, соответствующей требованиям Фонда</w:t>
            </w:r>
          </w:p>
        </w:tc>
        <w:tc>
          <w:tcPr>
            <w:tcW w:w="3120" w:type="dxa"/>
          </w:tcPr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в качестве единственной формы обеспечения на полную сумму займа принимается:</w:t>
            </w:r>
          </w:p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безотзывная банковская гарантия, удовлетворяющая требования Фонда (список банков здесь);</w:t>
            </w:r>
          </w:p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и/или безотзывная независимая гарантия АО «Корпорация МСП»/АО «МСП Банк»;</w:t>
            </w:r>
          </w:p>
          <w:p w:rsidR="00045CE5" w:rsidRPr="00AA7E63" w:rsidRDefault="00045CE5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и/или гарантия ВЭБ.РФ.</w:t>
            </w:r>
          </w:p>
        </w:tc>
      </w:tr>
      <w:tr w:rsidR="00AA7E63" w:rsidTr="00AA7E63">
        <w:tc>
          <w:tcPr>
            <w:tcW w:w="2830" w:type="dxa"/>
            <w:vMerge w:val="restart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Требования к проекту и инициатору (заемщику)</w:t>
            </w:r>
          </w:p>
        </w:tc>
        <w:tc>
          <w:tcPr>
            <w:tcW w:w="3543" w:type="dxa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Инициатор (заемщик) –юридическое лицо, резидент Российской Федерации (полные условия здесь)</w:t>
            </w:r>
          </w:p>
        </w:tc>
        <w:tc>
          <w:tcPr>
            <w:tcW w:w="3120" w:type="dxa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Инициатор (заемщик) – индивидуальный предприниматель или юридическое лицо, резидент Российской Федерации (полные условия здесь)</w:t>
            </w:r>
          </w:p>
        </w:tc>
      </w:tr>
      <w:tr w:rsidR="00AA7E63" w:rsidTr="00AA7E63">
        <w:tc>
          <w:tcPr>
            <w:tcW w:w="2830" w:type="dxa"/>
            <w:vMerge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3" w:type="dxa"/>
            <w:gridSpan w:val="2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Отсутствие у инициатора просроченной задолженности перед бюджетом и фондами;</w:t>
            </w:r>
          </w:p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В результате реализации Инвестиционного проекта должны быть осуществлены инвестиции и созданы новые рабочие места;</w:t>
            </w:r>
          </w:p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Отсутствие зависимости проекта от деятельности градообразующего предприятия.</w:t>
            </w:r>
          </w:p>
        </w:tc>
      </w:tr>
      <w:tr w:rsidR="00AA7E63" w:rsidTr="0014222C">
        <w:tc>
          <w:tcPr>
            <w:tcW w:w="2830" w:type="dxa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Ограничения</w:t>
            </w:r>
          </w:p>
        </w:tc>
        <w:tc>
          <w:tcPr>
            <w:tcW w:w="6663" w:type="dxa"/>
            <w:gridSpan w:val="2"/>
          </w:tcPr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Участие Фонда в проекте не более 80% от общей стоимости проекта;</w:t>
            </w:r>
          </w:p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Средства Фонда могут быть направлены только на капитальные вложения;</w:t>
            </w:r>
          </w:p>
          <w:p w:rsidR="00AA7E63" w:rsidRPr="00AA7E63" w:rsidRDefault="00AA7E63" w:rsidP="00AA7E6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A7E63">
              <w:rPr>
                <w:rFonts w:ascii="Times New Roman" w:hAnsi="Times New Roman" w:cs="Times New Roman"/>
                <w:szCs w:val="24"/>
              </w:rPr>
              <w:t>Наличие в отношении моногорода заключенного с субъектом Российской Федерации генерального соглашения о сотрудничестве по развитию (о совместной реализации комплексного проекта).</w:t>
            </w:r>
          </w:p>
        </w:tc>
      </w:tr>
    </w:tbl>
    <w:p w:rsidR="00B0477A" w:rsidRPr="00623AA4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77A" w:rsidRPr="00623AA4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sz w:val="24"/>
          <w:szCs w:val="24"/>
        </w:rPr>
        <w:t xml:space="preserve">Под Инвестиционным проектом в моногороде понимается – инвестиционный проект, осуществляемый в форме капитальных вложений юридическим лицом или индивидуальным предпринимателем на участке территории, состоящем из одного или нескольких земельных участков, в границах моногорода, а также на прилегающих к границам моногорода участках территории в границах промышленного, индустриального, технологического или агропромышленного парка или если часть производственных </w:t>
      </w:r>
      <w:r w:rsidRPr="00623AA4">
        <w:rPr>
          <w:rFonts w:ascii="Times New Roman" w:hAnsi="Times New Roman" w:cs="Times New Roman"/>
          <w:sz w:val="24"/>
          <w:szCs w:val="24"/>
        </w:rPr>
        <w:lastRenderedPageBreak/>
        <w:t>мощностей указанных лиц расположена за пределами территории моногорода, но является составляющей единого производственного процесса, направленного на достижение общего экономического результата (производство товаров, выполнение работ, оказание услуг) и соответствующий одновременно следующим требованиям:</w:t>
      </w:r>
    </w:p>
    <w:p w:rsidR="00B0477A" w:rsidRPr="00623AA4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sz w:val="24"/>
          <w:szCs w:val="24"/>
        </w:rPr>
        <w:t>- проект не является инвестиционным проектом по реконструкции, техническому перевооружению, модернизации и (или) дооборудованию градообразующего предприятия моногорода;</w:t>
      </w:r>
    </w:p>
    <w:p w:rsidR="00B0477A" w:rsidRPr="00623AA4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sz w:val="24"/>
          <w:szCs w:val="24"/>
        </w:rPr>
        <w:t>- ежегодная стоимость товаров (работ, услуг), приобретаемых у градообразующего предприятия Моногорода, не превышает 50 процентов ежегодной стоимости всех товаров (работ, услуг), приобретаемых в целях реализации Инвестиционного проекта;</w:t>
      </w:r>
    </w:p>
    <w:p w:rsidR="00B0477A" w:rsidRPr="00623AA4" w:rsidRDefault="00B0477A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sz w:val="24"/>
          <w:szCs w:val="24"/>
        </w:rPr>
        <w:t>- ежегодная выручка от реализации товаров (работ, услуг) градообразующего предприятия Моногорода не превышает 50 процентов ежегодной выручки, получаемой от реализации товаров (работ, услуг), произведенных (выполненных, оказанных) в результате реализации Инвестиционного проекта.</w:t>
      </w:r>
    </w:p>
    <w:p w:rsidR="006C0A43" w:rsidRPr="00623AA4" w:rsidRDefault="006C0A43" w:rsidP="00AA7E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7E63" w:rsidRDefault="00AA7E63">
      <w:pPr>
        <w:rPr>
          <w:rFonts w:ascii="Times New Roman" w:hAnsi="Times New Roman" w:cs="Times New Roman"/>
          <w:sz w:val="24"/>
          <w:szCs w:val="24"/>
        </w:rPr>
      </w:pPr>
    </w:p>
    <w:p w:rsidR="00AA7E63" w:rsidRDefault="00AA7E63">
      <w:pPr>
        <w:rPr>
          <w:rFonts w:ascii="Times New Roman" w:hAnsi="Times New Roman" w:cs="Times New Roman"/>
          <w:sz w:val="24"/>
          <w:szCs w:val="24"/>
        </w:rPr>
        <w:sectPr w:rsidR="00AA7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A43" w:rsidRPr="00623AA4" w:rsidRDefault="006C0A43">
      <w:pPr>
        <w:rPr>
          <w:rFonts w:ascii="Times New Roman" w:hAnsi="Times New Roman" w:cs="Times New Roman"/>
          <w:sz w:val="24"/>
          <w:szCs w:val="24"/>
        </w:rPr>
      </w:pPr>
    </w:p>
    <w:p w:rsidR="006C0A43" w:rsidRPr="00623AA4" w:rsidRDefault="006C0A43" w:rsidP="00AA7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010E83" wp14:editId="0F96861E">
            <wp:extent cx="9226940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8142" cy="503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A43" w:rsidRPr="00623AA4" w:rsidRDefault="006C0A43">
      <w:pPr>
        <w:rPr>
          <w:rFonts w:ascii="Times New Roman" w:hAnsi="Times New Roman" w:cs="Times New Roman"/>
          <w:sz w:val="24"/>
          <w:szCs w:val="24"/>
        </w:rPr>
      </w:pPr>
    </w:p>
    <w:p w:rsidR="006C0A43" w:rsidRPr="00623AA4" w:rsidRDefault="00623AA4" w:rsidP="00AA7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AA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A2A1C01" wp14:editId="7C811545">
            <wp:extent cx="9260538" cy="5173579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944" cy="517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A43" w:rsidRPr="00623AA4" w:rsidSect="00AA7E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1CC"/>
    <w:multiLevelType w:val="hybridMultilevel"/>
    <w:tmpl w:val="E5AC9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324BA"/>
    <w:multiLevelType w:val="hybridMultilevel"/>
    <w:tmpl w:val="5B2C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7A"/>
    <w:rsid w:val="00045CE5"/>
    <w:rsid w:val="00294D79"/>
    <w:rsid w:val="00623AA4"/>
    <w:rsid w:val="006C0A43"/>
    <w:rsid w:val="00794027"/>
    <w:rsid w:val="00AA7E63"/>
    <w:rsid w:val="00B0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6B01"/>
  <w15:chartTrackingRefBased/>
  <w15:docId w15:val="{23EC0536-6FB5-44BA-88A9-E03A4083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7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477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45CE5"/>
    <w:pPr>
      <w:ind w:left="720"/>
      <w:contextualSpacing/>
    </w:pPr>
  </w:style>
  <w:style w:type="table" w:styleId="a6">
    <w:name w:val="Table Grid"/>
    <w:basedOn w:val="a1"/>
    <w:uiPriority w:val="39"/>
    <w:rsid w:val="0004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Муниципальный Фонд</dc:creator>
  <cp:keywords/>
  <dc:description/>
  <cp:lastModifiedBy>Муниципальный Фонд</cp:lastModifiedBy>
  <cp:revision>3</cp:revision>
  <dcterms:created xsi:type="dcterms:W3CDTF">2019-02-05T07:46:00Z</dcterms:created>
  <dcterms:modified xsi:type="dcterms:W3CDTF">2019-02-07T05:52:00Z</dcterms:modified>
</cp:coreProperties>
</file>